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50.png" ContentType="image/png"/>
  <Override PartName="/word/media/rId42.png" ContentType="image/png"/>
  <Override PartName="/word/media/rId79.png" ContentType="image/png"/>
  <Override PartName="/word/media/rId99.png" ContentType="image/png"/>
  <Override PartName="/word/media/rId59.png" ContentType="image/png"/>
  <Override PartName="/word/media/rId69.png" ContentType="image/png"/>
  <Override PartName="/word/media/rId20.png" ContentType="image/png"/>
  <Override PartName="/word/media/rId38.png" ContentType="image/png"/>
  <Override PartName="/word/media/rId65.png" ContentType="image/png"/>
  <Override PartName="/word/media/rId46.png" ContentType="image/png"/>
  <Override PartName="/word/media/rId94.png" ContentType="image/png"/>
  <Override PartName="/word/media/rId54.png" ContentType="image/png"/>
  <Override PartName="/word/media/rId84.png" ContentType="image/png"/>
  <Override PartName="/word/media/rId74.png" ContentType="image/png"/>
  <Override PartName="/word/media/rId89.png" ContentType="image/png"/>
  <Override PartName="/word/media/rId25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rPr>
          <w:rStyle w:val="VerbatimChar"/>
        </w:rPr>
        <w:t xml:space="preserve">napari-cosmx</w:t>
      </w:r>
      <w:r>
        <w:t xml:space="preserve"> </w:t>
      </w:r>
      <w:r>
        <w:t xml:space="preserve">essentials</w:t>
      </w:r>
    </w:p>
    <w:p>
      <w:pPr>
        <w:pStyle w:val="Author"/>
      </w:pPr>
      <w:r>
        <w:t xml:space="preserve">Evelyn Metzger</w:t>
      </w:r>
    </w:p>
    <w:p>
      <w:pPr>
        <w:pStyle w:val="Date"/>
      </w:pPr>
      <w:r>
        <w:t xml:space="preserve">2024-06-17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Contents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23" w:name="fig-duality"/>
          <w:p>
            <w:pPr>
              <w:pStyle w:val="Compact"/>
              <w:jc w:val="center"/>
            </w:pPr>
            <w:r>
              <w:drawing>
                <wp:inline>
                  <wp:extent cx="3675979" cy="3675979"/>
                  <wp:effectExtent b="0" l="0" r="0" t="0"/>
                  <wp:docPr descr="" title="" id="21" name="Picture"/>
                  <a:graphic>
                    <a:graphicData uri="http://schemas.openxmlformats.org/drawingml/2006/picture">
                      <pic:pic>
                        <pic:nvPicPr>
                          <pic:cNvPr descr="./figures/fig-duality.png" id="2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75979" cy="367597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1: Drawing that represents the duality of</w:t>
            </w:r>
            <w:r>
              <w:t xml:space="preserve"> </w:t>
            </w:r>
            <w:r>
              <w:rPr>
                <w:rStyle w:val="VerbatimChar"/>
              </w:rPr>
              <w:t xml:space="preserve">napari-cosmx</w:t>
            </w:r>
            <w:r>
              <w:t xml:space="preserve">. On the left side, cell types within a mouse coronal hemisphere are shown in an interactive Graphical User Interface. In addition to creating images interactively, the right side highlights that images can be generated programmatically. Both sides of</w:t>
            </w:r>
            <w:r>
              <w:t xml:space="preserve"> </w:t>
            </w:r>
            <w:r>
              <w:rPr>
                <w:rStyle w:val="VerbatimChar"/>
              </w:rPr>
              <w:t xml:space="preserve">napari-cosmx</w:t>
            </w:r>
            <w:r>
              <w:t xml:space="preserve"> </w:t>
            </w:r>
            <w:r>
              <w:t xml:space="preserve">are discussed in this post.</w:t>
            </w:r>
          </w:p>
          <w:bookmarkEnd w:id="23"/>
        </w:tc>
      </w:tr>
    </w:tbl>
    <w:bookmarkStart w:id="28" w:name="introduction"/>
    <w:p>
      <w:pPr>
        <w:pStyle w:val="Heading1"/>
      </w:pPr>
      <w:r>
        <w:t xml:space="preserve">1. Introduction</w:t>
      </w:r>
    </w:p>
    <w:p>
      <w:pPr>
        <w:pStyle w:val="FirstParagraph"/>
      </w:pPr>
      <w:r>
        <w:t xml:space="preserve">This post is the second installment of the napari series. In the</w:t>
      </w:r>
      <w:r>
        <w:t xml:space="preserve"> </w:t>
      </w:r>
      <w:hyperlink r:id="rId24">
        <w:r>
          <w:rPr>
            <w:rStyle w:val="Hyperlink"/>
          </w:rPr>
          <w:t xml:space="preserve">first blog post</w:t>
        </w:r>
      </w:hyperlink>
      <w:r>
        <w:t xml:space="preserve"> </w:t>
      </w:r>
      <w:r>
        <w:t xml:space="preserve">I introduced the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plugin, how CosMx</w:t>
      </w:r>
      <w:r>
        <w:t xml:space="preserve">®</w:t>
      </w:r>
      <w:r>
        <w:t xml:space="preserve"> </w:t>
      </w:r>
      <w:r>
        <w:t xml:space="preserve">Spatial Molecular Imager (SMI) data</w:t>
      </w:r>
      <w:r>
        <w:t xml:space="preserve"> </w:t>
      </w:r>
      <w:r>
        <w:t xml:space="preserve">can be viewed as layers within napari, and a method for processing,</w:t>
      </w:r>
      <w:r>
        <w:t xml:space="preserve"> </w:t>
      </w:r>
      <w:r>
        <w:t xml:space="preserve">or</w:t>
      </w:r>
      <w:r>
        <w:t xml:space="preserve"> </w:t>
      </w:r>
      <w:r>
        <w:t xml:space="preserve">“stitching”</w:t>
      </w:r>
      <w:r>
        <w:t xml:space="preserve">, raw data that are exported from AtoMx</w:t>
      </w:r>
      <w:r>
        <w:t xml:space="preserve">®</w:t>
      </w:r>
      <w:r>
        <w:t xml:space="preserve"> </w:t>
      </w:r>
      <w:r>
        <w:t xml:space="preserve">Spatial Informatics</w:t>
      </w:r>
      <w:r>
        <w:t xml:space="preserve"> </w:t>
      </w:r>
      <w:r>
        <w:t xml:space="preserve">Portal (SIP).</w:t>
      </w:r>
    </w:p>
    <w:p>
      <w:pPr>
        <w:pStyle w:val="BodyText"/>
      </w:pPr>
      <w:r>
        <w:t xml:space="preserve">One of the things that I love about the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</w:t>
      </w:r>
      <w:r>
        <w:t xml:space="preserve"> </w:t>
      </w:r>
      <w:r>
        <w:t xml:space="preserve">is its duality. It’s flexible enough to quickly explore SMI data in a Graphical</w:t>
      </w:r>
      <w:r>
        <w:t xml:space="preserve"> </w:t>
      </w:r>
      <w:r>
        <w:t xml:space="preserve">User Interface (GUI) yet robust enough to script reproducible results and tap into</w:t>
      </w:r>
      <w:r>
        <w:t xml:space="preserve"> </w:t>
      </w:r>
      <w:r>
        <w:t xml:space="preserve">the underlying python objects. In this post, I’ll walk through some of the basic</w:t>
      </w:r>
      <w:r>
        <w:t xml:space="preserve"> </w:t>
      </w:r>
      <w:r>
        <w:t xml:space="preserve">ways in which we can use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to view SMI data. I’ll make use of this</w:t>
      </w:r>
      <w:r>
        <w:t xml:space="preserve"> </w:t>
      </w:r>
      <w:r>
        <w:t xml:space="preserve">duality by sharing a combination of GUI and programmatic tips.</w:t>
      </w:r>
    </w:p>
    <w:tbl>
      <w:tblPr>
        <w:tblStyle w:val="Table"/>
        <w:tblLook w:firstRow="0" w:lastRow="0" w:firstColumn="0" w:lastColumn="0" w:noHBand="0" w:noVBand="0" w:val="0000"/>
        <w:tblBorders>
          <w:left w:val="single" w:sz="24" w:space="0" w:color="0758E5"/>
          <w:right w:val="single" w:sz="4" w:space="0" w:color="0758E5"/>
          <w:top w:val="single" w:sz="4" w:space="0" w:color="0758E5"/>
          <w:bottom w:val="single" w:sz="4" w:space="0" w:color="0758E5"/>
        </w:tblBorders>
        <w:tblCellMar>
          <w:left w:w="144" w:type="dxa"/>
          <w:right w:w="144" w:type="dxa"/>
        </w:tblCellMar>
        <w:tblInd w:w="164" w:type="dxa"/>
        <w:tblW w:type="pct" w:w="100%"/>
      </w:tblPr>
      <w:tr>
        <w:trPr>
          <w:cantSplit/>
        </w:trPr>
        <w:tc>
          <w:tcPr>
            <w:shd w:color="auto" w:fill="dae6fb" w:val="clear"/>
            <w:tcMar>
              <w:top w:w="92" w:type="dxa"/>
              <w:bottom w:w="92" w:type="dxa"/>
            </w:tcMar>
          </w:tcPr>
          <w:p>
            <w:pPr>
              <w:pStyle w:val="BodyText"/>
            </w:pPr>
            <w:pPr>
              <w:spacing w:before="0" w:after="0"/>
              <w:textAlignment w:val="center"/>
            </w:pPr>
            <w:r>
              <w:drawing>
                <wp:inline>
                  <wp:extent cx="152400" cy="152400"/>
                  <wp:effectExtent b="0" l="0" r="0" t="0"/>
                  <wp:docPr descr="" title="" id="26" name="Picture"/>
                  <a:graphic>
                    <a:graphicData uri="http://schemas.openxmlformats.org/drawingml/2006/picture">
                      <pic:pic>
                        <pic:nvPicPr>
                          <pic:cNvPr descr="/opt/quarto/share/formats/docx/note.png" id="27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t xml:space="preserve"> </w:t>
            </w:r>
            <w:r>
              <w:t xml:space="preserve">Note</w:t>
            </w:r>
          </w:p>
        </w:tc>
      </w:tr>
      <w:tr>
        <w:trPr>
          <w:cantSplit/>
        </w:trPr>
        <w:tc>
          <w:tcPr>
            <w:tcMar>
              <w:top w:w="108" w:type="dxa"/>
              <w:bottom w:w="108" w:type="dxa"/>
            </w:tcMar>
          </w:tcPr>
          <w:p>
            <w:pPr>
              <w:pStyle w:val="BodyText"/>
            </w:pPr>
            <w:pPr>
              <w:spacing w:before="16" w:after="16"/>
            </w:pPr>
            <w:r>
              <w:t xml:space="preserve">This is not intended to be official documentation for the</w:t>
            </w:r>
            <w:r>
              <w:t xml:space="preserve"> </w:t>
            </w:r>
            <w:r>
              <w:rPr>
                <w:rStyle w:val="VerbatimChar"/>
              </w:rPr>
              <w:t xml:space="preserve">napari-cosmx</w:t>
            </w:r>
            <w:r>
              <w:t xml:space="preserve"> </w:t>
            </w:r>
            <w:r>
              <w:t xml:space="preserve">plugin.</w:t>
            </w:r>
            <w:r>
              <w:t xml:space="preserve"> </w:t>
            </w:r>
            <w:r>
              <w:t xml:space="preserve">The tips herein are not an exhaustive list of features and methods.</w:t>
            </w:r>
          </w:p>
        </w:tc>
      </w:tr>
    </w:tbl>
    <w:p>
      <w:pPr>
        <w:pStyle w:val="Compact"/>
        <w:numPr>
          <w:ilvl w:val="0"/>
          <w:numId w:val="1001"/>
        </w:numPr>
      </w:pPr>
      <w:hyperlink w:anchor="sec-example-data">
        <w:r>
          <w:rPr>
            <w:rStyle w:val="Hyperlink"/>
          </w:rPr>
          <w:t xml:space="preserve">Section 2</w:t>
        </w:r>
      </w:hyperlink>
      <w:r>
        <w:t xml:space="preserve"> </w:t>
      </w:r>
      <w:r>
        <w:t xml:space="preserve">shows how to preprocess the example dataset. If you are using your AtoMx-exported SMI data, this section is optional</w:t>
      </w:r>
    </w:p>
    <w:p>
      <w:pPr>
        <w:pStyle w:val="Compact"/>
        <w:numPr>
          <w:ilvl w:val="0"/>
          <w:numId w:val="1001"/>
        </w:numPr>
      </w:pPr>
      <w:hyperlink w:anchor="sec-interacting-with-the-gui">
        <w:r>
          <w:rPr>
            <w:rStyle w:val="Hyperlink"/>
          </w:rPr>
          <w:t xml:space="preserve">Section 3</w:t>
        </w:r>
      </w:hyperlink>
      <w:r>
        <w:t xml:space="preserve"> </w:t>
      </w:r>
      <w:r>
        <w:t xml:space="preserve">shows basic GUI tips for interacting with SMI data</w:t>
      </w:r>
    </w:p>
    <w:p>
      <w:pPr>
        <w:pStyle w:val="Compact"/>
        <w:numPr>
          <w:ilvl w:val="0"/>
          <w:numId w:val="1001"/>
        </w:numPr>
      </w:pPr>
      <w:hyperlink w:anchor="sec-scripting">
        <w:r>
          <w:rPr>
            <w:rStyle w:val="Hyperlink"/>
          </w:rPr>
          <w:t xml:space="preserve">Section 4</w:t>
        </w:r>
      </w:hyperlink>
      <w:r>
        <w:t xml:space="preserve"> </w:t>
      </w:r>
      <w:r>
        <w:t xml:space="preserve">provides several examples of recapitulating the aesthetics</w:t>
      </w:r>
      <w:r>
        <w:t xml:space="preserve"> </w:t>
      </w:r>
      <w:r>
        <w:t xml:space="preserve">seen with the GUI as well as advanced ways we can fine-tune images and more</w:t>
      </w:r>
    </w:p>
    <w:bookmarkEnd w:id="28"/>
    <w:bookmarkStart w:id="36" w:name="sec-example-data"/>
    <w:p>
      <w:pPr>
        <w:pStyle w:val="Heading1"/>
      </w:pPr>
      <w:r>
        <w:t xml:space="preserve">2. The Example Dataset</w:t>
      </w:r>
    </w:p>
    <w:p>
      <w:pPr>
        <w:pStyle w:val="FirstParagraph"/>
      </w:pPr>
      <w:r>
        <w:t xml:space="preserve">The example dataset that I am using is the mouse coronal hemisphere</w:t>
      </w:r>
      <w:r>
        <w:t xml:space="preserve"> </w:t>
      </w:r>
      <w:r>
        <w:t xml:space="preserve">FFPE that is available to download from NanoString’s website</w:t>
      </w:r>
      <w:r>
        <w:t xml:space="preserve"> </w:t>
      </w:r>
      <w:hyperlink r:id="rId29">
        <w:r>
          <w:rPr>
            <w:rStyle w:val="Hyperlink"/>
          </w:rPr>
          <w:t xml:space="preserve">here</w:t>
        </w:r>
      </w:hyperlink>
      <w:r>
        <w:t xml:space="preserve">.</w:t>
      </w:r>
      <w:r>
        <w:t xml:space="preserve"> </w:t>
      </w:r>
      <w:r>
        <w:t xml:space="preserve">If you are following along with your AtoMx exported data, you can skip most of</w:t>
      </w:r>
      <w:r>
        <w:t xml:space="preserve"> </w:t>
      </w:r>
      <w:r>
        <w:t xml:space="preserve">these pre-processing steps as they are not required (but see</w:t>
      </w:r>
      <w:r>
        <w:t xml:space="preserve"> </w:t>
      </w:r>
      <w:hyperlink w:anchor="sec-adding-metadata">
        <w:r>
          <w:rPr>
            <w:rStyle w:val="Hyperlink"/>
          </w:rPr>
          <w:t xml:space="preserve">Section 2.1.2</w:t>
        </w:r>
      </w:hyperlink>
      <w:r>
        <w:t xml:space="preserve"> </w:t>
      </w:r>
      <w:r>
        <w:t xml:space="preserve">if you would like to view metadata).</w:t>
      </w:r>
    </w:p>
    <w:tbl>
      <w:tblPr>
        <w:tblStyle w:val="Table"/>
        <w:tblLook w:firstRow="0" w:lastRow="0" w:firstColumn="0" w:lastColumn="0" w:noHBand="0" w:noVBand="0" w:val="0000"/>
        <w:tblBorders>
          <w:left w:val="single" w:sz="24" w:space="0" w:color="0758E5"/>
          <w:right w:val="single" w:sz="4" w:space="0" w:color="0758E5"/>
          <w:top w:val="single" w:sz="4" w:space="0" w:color="0758E5"/>
          <w:bottom w:val="single" w:sz="4" w:space="0" w:color="0758E5"/>
        </w:tblBorders>
        <w:tblCellMar>
          <w:left w:w="144" w:type="dxa"/>
          <w:right w:w="144" w:type="dxa"/>
        </w:tblCellMar>
        <w:tblInd w:w="164" w:type="dxa"/>
        <w:tblW w:type="pct" w:w="100%"/>
      </w:tblPr>
      <w:tr>
        <w:trPr>
          <w:cantSplit/>
        </w:trPr>
        <w:tc>
          <w:tcPr>
            <w:shd w:color="auto" w:fill="dae6fb" w:val="clear"/>
            <w:tcMar>
              <w:top w:w="92" w:type="dxa"/>
              <w:bottom w:w="92" w:type="dxa"/>
            </w:tcMar>
          </w:tcPr>
          <w:p>
            <w:pPr>
              <w:pStyle w:val="BodyText"/>
            </w:pPr>
            <w:pPr>
              <w:spacing w:before="0" w:after="0"/>
              <w:textAlignment w:val="center"/>
            </w:pPr>
            <w:r>
              <w:drawing>
                <wp:inline>
                  <wp:extent cx="152400" cy="152400"/>
                  <wp:effectExtent b="0" l="0" r="0" t="0"/>
                  <wp:docPr descr="" title="" id="30" name="Picture"/>
                  <a:graphic>
                    <a:graphicData uri="http://schemas.openxmlformats.org/drawingml/2006/picture">
                      <pic:pic>
                        <pic:nvPicPr>
                          <pic:cNvPr descr="/opt/quarto/share/formats/docx/note.png" id="3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t xml:space="preserve"> </w:t>
            </w:r>
            <w:r>
              <w:t xml:space="preserve">Note</w:t>
            </w:r>
          </w:p>
        </w:tc>
      </w:tr>
      <w:tr>
        <w:trPr>
          <w:cantSplit/>
        </w:trPr>
        <w:tc>
          <w:tcPr>
            <w:tcMar>
              <w:top w:w="108" w:type="dxa"/>
              <w:bottom w:w="108" w:type="dxa"/>
            </w:tcMar>
          </w:tcPr>
          <w:p>
            <w:pPr>
              <w:pStyle w:val="BodyText"/>
            </w:pPr>
            <w:pPr>
              <w:spacing w:before="16"/>
            </w:pPr>
            <w:r>
              <w:t xml:space="preserve">Large memory (RAM) might be required to work with raw images. Stitching the example data on a laptop might not work for everyone.</w:t>
            </w:r>
            <w:r>
              <w:t xml:space="preserve"> </w:t>
            </w:r>
            <w:r>
              <w:t xml:space="preserve">The raw data size for this example is 183 GBs. Not all raw data are needed to stitch, however,</w:t>
            </w:r>
            <w:r>
              <w:t xml:space="preserve"> </w:t>
            </w:r>
            <w:r>
              <w:t xml:space="preserve">and users can exclude the</w:t>
            </w:r>
            <w:r>
              <w:t xml:space="preserve"> </w:t>
            </w:r>
            <w:r>
              <w:rPr>
                <w:rStyle w:val="VerbatimChar"/>
              </w:rPr>
              <w:t xml:space="preserve">CellStatsDir/Morphology3D</w:t>
            </w:r>
            <w:r>
              <w:t xml:space="preserve"> </w:t>
            </w:r>
            <w:r>
              <w:t xml:space="preserve">folder if downloading locally.</w:t>
            </w:r>
            <w:r>
              <w:t xml:space="preserve"> </w:t>
            </w:r>
            <w:r>
              <w:t xml:space="preserve">If excluding this folder, the raw data is closer to 35 GBs.</w:t>
            </w:r>
          </w:p>
          <w:p>
            <w:pPr>
              <w:pStyle w:val="BodyText"/>
            </w:pPr>
            <w:pPr>
              <w:spacing w:after="16"/>
            </w:pPr>
            <w:r>
              <w:t xml:space="preserve">The computer I used to stitch was an M1 Macbook Pro. Processing this 130 FOV, mouse</w:t>
            </w:r>
            <w:r>
              <w:t xml:space="preserve"> </w:t>
            </w:r>
            <w:r>
              <w:t xml:space="preserve">1K data set took about 10 minutes, ~700%</w:t>
            </w:r>
            <w:r>
              <w:t xml:space="preserve"> </w:t>
            </w:r>
            <w:r>
              <w:t xml:space="preserve">CPU, and a peak memory usage of about 12 GBs (swap space was also used). The size</w:t>
            </w:r>
            <w:r>
              <w:t xml:space="preserve"> </w:t>
            </w:r>
            <w:r>
              <w:t xml:space="preserve">of the napari files combined was an additional 22 GBs of disk space.</w:t>
            </w:r>
          </w:p>
        </w:tc>
      </w:tr>
    </w:tbl>
    <w:bookmarkStart w:id="35" w:name="sec-preprocessing"/>
    <w:p>
      <w:pPr>
        <w:pStyle w:val="Heading2"/>
      </w:pPr>
      <w:r>
        <w:t xml:space="preserve">2.1 Pre-processing example data</w:t>
      </w:r>
    </w:p>
    <w:p>
      <w:pPr>
        <w:pStyle w:val="FirstParagraph"/>
      </w:pPr>
      <w:r>
        <w:t xml:space="preserve">Once downloaded, unzip the</w:t>
      </w:r>
      <w:r>
        <w:t xml:space="preserve"> </w:t>
      </w:r>
      <w:r>
        <w:rPr>
          <w:rStyle w:val="VerbatimChar"/>
        </w:rPr>
        <w:t xml:space="preserve">HalfBrain.zip</w:t>
      </w:r>
      <w:r>
        <w:t xml:space="preserve"> </w:t>
      </w:r>
      <w:r>
        <w:t xml:space="preserve">file on your computer or external</w:t>
      </w:r>
      <w:r>
        <w:t xml:space="preserve"> </w:t>
      </w:r>
      <w:r>
        <w:t xml:space="preserve">hard drive. The format for this dataset differs from the expected AtoMx SIP export so a</w:t>
      </w:r>
      <w:r>
        <w:t xml:space="preserve"> </w:t>
      </w:r>
      <w:r>
        <w:t xml:space="preserve">preprocessing step is necessary.</w:t>
      </w:r>
    </w:p>
    <w:p>
      <w:pPr>
        <w:pStyle w:val="BodyText"/>
      </w:pPr>
      <w:r>
        <w:t xml:space="preserve">When uncompressed, the raw data in the HalfBrain folder are actually nested like this:</w:t>
      </w:r>
    </w:p>
    <w:p>
      <w:pPr>
        <w:pStyle w:val="SourceCode"/>
      </w:pPr>
      <w:r>
        <w:rPr>
          <w:rStyle w:val="NormalTok"/>
        </w:rPr>
        <w:t xml:space="preserve">tree -L 4</w:t>
      </w:r>
      <w:r>
        <w:br/>
      </w:r>
      <w:r>
        <w:br/>
      </w:r>
      <w:r>
        <w:rPr>
          <w:rStyle w:val="NormalTok"/>
        </w:rPr>
        <w:t xml:space="preserve">├── AnalysisResult</w:t>
      </w:r>
      <w:r>
        <w:br/>
      </w:r>
      <w:r>
        <w:rPr>
          <w:rStyle w:val="NormalTok"/>
        </w:rPr>
        <w:t xml:space="preserve">│   └── HalfBrain_20230406_205644_S1</w:t>
      </w:r>
      <w:r>
        <w:br/>
      </w:r>
      <w:r>
        <w:rPr>
          <w:rStyle w:val="NormalTok"/>
        </w:rPr>
        <w:t xml:space="preserve">│       └── AnalysisResults &lt;-- **Raw Data Folder**</w:t>
      </w:r>
      <w:r>
        <w:br/>
      </w:r>
      <w:r>
        <w:rPr>
          <w:rStyle w:val="NormalTok"/>
        </w:rPr>
        <w:t xml:space="preserve">|           └── cp7bjyp7pm</w:t>
      </w:r>
      <w:r>
        <w:br/>
      </w:r>
      <w:r>
        <w:rPr>
          <w:rStyle w:val="NormalTok"/>
        </w:rPr>
        <w:t xml:space="preserve">├── CellStatsDir</w:t>
      </w:r>
      <w:r>
        <w:br/>
      </w:r>
      <w:r>
        <w:rPr>
          <w:rStyle w:val="NormalTok"/>
        </w:rPr>
        <w:t xml:space="preserve">│   └── HalfBrain_20230406_205644_S1</w:t>
      </w:r>
      <w:r>
        <w:br/>
      </w:r>
      <w:r>
        <w:rPr>
          <w:rStyle w:val="NormalTok"/>
        </w:rPr>
        <w:t xml:space="preserve">│       └── CellStatsDir &lt;-- **Raw Data Folder**</w:t>
      </w:r>
      <w:r>
        <w:br/>
      </w:r>
      <w:r>
        <w:rPr>
          <w:rStyle w:val="NormalTok"/>
        </w:rPr>
        <w:t xml:space="preserve">│           ├── CellComposite</w:t>
      </w:r>
      <w:r>
        <w:br/>
      </w:r>
      <w:r>
        <w:rPr>
          <w:rStyle w:val="NormalTok"/>
        </w:rPr>
        <w:t xml:space="preserve">│           ├── CellOverlay</w:t>
      </w:r>
      <w:r>
        <w:br/>
      </w:r>
      <w:r>
        <w:rPr>
          <w:rStyle w:val="NormalTok"/>
        </w:rPr>
        <w:t xml:space="preserve">│           ├── FOV001</w:t>
      </w:r>
      <w:r>
        <w:br/>
      </w:r>
      <w:r>
        <w:rPr>
          <w:rStyle w:val="NormalTok"/>
        </w:rPr>
        <w:t xml:space="preserve">│           ├── FOV002</w:t>
      </w:r>
      <w:r>
        <w:br/>
      </w:r>
      <w:r>
        <w:rPr>
          <w:rStyle w:val="NormalTok"/>
        </w:rPr>
        <w:t xml:space="preserve">|           ...</w:t>
      </w:r>
      <w:r>
        <w:br/>
      </w:r>
      <w:r>
        <w:rPr>
          <w:rStyle w:val="NormalTok"/>
        </w:rPr>
        <w:t xml:space="preserve">│           ├── Morphology2D</w:t>
      </w:r>
      <w:r>
        <w:br/>
      </w:r>
      <w:r>
        <w:rPr>
          <w:rStyle w:val="NormalTok"/>
        </w:rPr>
        <w:t xml:space="preserve">│           └── RnD</w:t>
      </w:r>
      <w:r>
        <w:br/>
      </w:r>
      <w:r>
        <w:rPr>
          <w:rStyle w:val="NormalTok"/>
        </w:rPr>
        <w:t xml:space="preserve">└── RunSummary</w:t>
      </w:r>
      <w:r>
        <w:br/>
      </w:r>
      <w:r>
        <w:rPr>
          <w:rStyle w:val="NormalTok"/>
        </w:rPr>
        <w:t xml:space="preserve">    └── HalfBrain_20230406_205644_S1</w:t>
      </w:r>
      <w:r>
        <w:br/>
      </w:r>
      <w:r>
        <w:rPr>
          <w:rStyle w:val="NormalTok"/>
        </w:rPr>
        <w:t xml:space="preserve">        └── RunSummary &lt;-- **Raw Data Folder**</w:t>
      </w:r>
      <w:r>
        <w:br/>
      </w:r>
      <w:r>
        <w:rPr>
          <w:rStyle w:val="NormalTok"/>
        </w:rPr>
        <w:t xml:space="preserve">            ├── Beta12_Affine_Transform_20221103.csv</w:t>
      </w:r>
      <w:r>
        <w:br/>
      </w:r>
      <w:r>
        <w:rPr>
          <w:rStyle w:val="NormalTok"/>
        </w:rPr>
        <w:t xml:space="preserve">            ├── FovTracking</w:t>
      </w:r>
      <w:r>
        <w:br/>
      </w:r>
      <w:r>
        <w:rPr>
          <w:rStyle w:val="NormalTok"/>
        </w:rPr>
        <w:t xml:space="preserve">            ├── Morphology_ChannelID_Dictionary.txt</w:t>
      </w:r>
      <w:r>
        <w:br/>
      </w:r>
      <w:r>
        <w:rPr>
          <w:rStyle w:val="NormalTok"/>
        </w:rPr>
        <w:t xml:space="preserve">            ├── Run1000_20230406_205644_S1_Beta12_ExptConfig.txt</w:t>
      </w:r>
      <w:r>
        <w:br/>
      </w:r>
      <w:r>
        <w:rPr>
          <w:rStyle w:val="NormalTok"/>
        </w:rPr>
        <w:t xml:space="preserve">            ├── Run1000_20230406_205644_S1_Beta12_SpatialBC_Metrics4D.csv</w:t>
      </w:r>
      <w:r>
        <w:br/>
      </w:r>
      <w:r>
        <w:rPr>
          <w:rStyle w:val="NormalTok"/>
        </w:rPr>
        <w:t xml:space="preserve">            ├── Shading</w:t>
      </w:r>
      <w:r>
        <w:br/>
      </w:r>
      <w:r>
        <w:rPr>
          <w:rStyle w:val="NormalTok"/>
        </w:rPr>
        <w:t xml:space="preserve">            ├── c902.fovs.csv</w:t>
      </w:r>
      <w:r>
        <w:br/>
      </w:r>
      <w:r>
        <w:rPr>
          <w:rStyle w:val="NormalTok"/>
        </w:rPr>
        <w:t xml:space="preserve">            └── latest.fovs.csv</w:t>
      </w:r>
    </w:p>
    <w:bookmarkStart w:id="33" w:name="sec-expected-raw-format"/>
    <w:p>
      <w:pPr>
        <w:pStyle w:val="Heading3"/>
      </w:pPr>
      <w:r>
        <w:t xml:space="preserve">2.1.1 Expected Raw Data Format</w:t>
      </w:r>
    </w:p>
    <w:p>
      <w:pPr>
        <w:pStyle w:val="FirstParagraph"/>
      </w:pPr>
      <w:r>
        <w:t xml:space="preserve">In order for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to stitch this non-AtoMx example dataset, we’ll need to</w:t>
      </w:r>
      <w:r>
        <w:t xml:space="preserve"> </w:t>
      </w:r>
      <w:r>
        <w:t xml:space="preserve">rearrange the folders so that the nested raw data are at the top level.</w:t>
      </w:r>
      <w:r>
        <w:t xml:space="preserve"> </w:t>
      </w:r>
      <w:r>
        <w:t xml:space="preserve">After rearrangement, the proper file structure should look like this:</w:t>
      </w:r>
    </w:p>
    <w:p>
      <w:pPr>
        <w:pStyle w:val="SourceCode"/>
      </w:pPr>
      <w:r>
        <w:rPr>
          <w:rStyle w:val="NormalTok"/>
        </w:rPr>
        <w:t xml:space="preserve">tree -L 2</w:t>
      </w:r>
      <w:r>
        <w:br/>
      </w:r>
      <w:r>
        <w:br/>
      </w:r>
      <w:r>
        <w:rPr>
          <w:rStyle w:val="NormalTok"/>
        </w:rPr>
        <w:t xml:space="preserve">.</w:t>
      </w:r>
      <w:r>
        <w:br/>
      </w:r>
      <w:r>
        <w:rPr>
          <w:rStyle w:val="NormalTok"/>
        </w:rPr>
        <w:t xml:space="preserve">├── AnalysisResults</w:t>
      </w:r>
      <w:r>
        <w:br/>
      </w:r>
      <w:r>
        <w:rPr>
          <w:rStyle w:val="NormalTok"/>
        </w:rPr>
        <w:t xml:space="preserve">│   └── cp7bjyp7pm</w:t>
      </w:r>
      <w:r>
        <w:br/>
      </w:r>
      <w:r>
        <w:rPr>
          <w:rStyle w:val="NormalTok"/>
        </w:rPr>
        <w:t xml:space="preserve">├── CellStatsDir</w:t>
      </w:r>
      <w:r>
        <w:br/>
      </w:r>
      <w:r>
        <w:rPr>
          <w:rStyle w:val="NormalTok"/>
        </w:rPr>
        <w:t xml:space="preserve">│   ├── CellComposite</w:t>
      </w:r>
      <w:r>
        <w:br/>
      </w:r>
      <w:r>
        <w:rPr>
          <w:rStyle w:val="NormalTok"/>
        </w:rPr>
        <w:t xml:space="preserve">│   ├── CellOverlay</w:t>
      </w:r>
      <w:r>
        <w:br/>
      </w:r>
      <w:r>
        <w:rPr>
          <w:rStyle w:val="NormalTok"/>
        </w:rPr>
        <w:t xml:space="preserve">│   ├── FOV001</w:t>
      </w:r>
      <w:r>
        <w:br/>
      </w:r>
      <w:r>
        <w:rPr>
          <w:rStyle w:val="NormalTok"/>
        </w:rPr>
        <w:t xml:space="preserve">│   ├── FOV002</w:t>
      </w:r>
      <w:r>
        <w:br/>
      </w:r>
      <w:r>
        <w:rPr>
          <w:rStyle w:val="NormalTok"/>
        </w:rPr>
        <w:t xml:space="preserve">...</w:t>
      </w:r>
      <w:r>
        <w:br/>
      </w:r>
      <w:r>
        <w:rPr>
          <w:rStyle w:val="NormalTok"/>
        </w:rPr>
        <w:t xml:space="preserve">│   ├── Morphology2D</w:t>
      </w:r>
      <w:r>
        <w:br/>
      </w:r>
      <w:r>
        <w:rPr>
          <w:rStyle w:val="NormalTok"/>
        </w:rPr>
        <w:t xml:space="preserve">│   └── RnD</w:t>
      </w:r>
      <w:r>
        <w:br/>
      </w:r>
      <w:r>
        <w:rPr>
          <w:rStyle w:val="NormalTok"/>
        </w:rPr>
        <w:t xml:space="preserve">└── RunSummary</w:t>
      </w:r>
      <w:r>
        <w:br/>
      </w:r>
      <w:r>
        <w:rPr>
          <w:rStyle w:val="NormalTok"/>
        </w:rPr>
        <w:t xml:space="preserve">    ├── Beta12_Affine_Transform_20221103.csv</w:t>
      </w:r>
      <w:r>
        <w:br/>
      </w:r>
      <w:r>
        <w:rPr>
          <w:rStyle w:val="NormalTok"/>
        </w:rPr>
        <w:t xml:space="preserve">    ├── FovTracking</w:t>
      </w:r>
      <w:r>
        <w:br/>
      </w:r>
      <w:r>
        <w:rPr>
          <w:rStyle w:val="NormalTok"/>
        </w:rPr>
        <w:t xml:space="preserve">    ├── Morphology_ChannelID_Dictionary.txt</w:t>
      </w:r>
      <w:r>
        <w:br/>
      </w:r>
      <w:r>
        <w:rPr>
          <w:rStyle w:val="NormalTok"/>
        </w:rPr>
        <w:t xml:space="preserve">    ├── Run1000_20230406_205644_S1_Beta12_ExptConfig.txt</w:t>
      </w:r>
      <w:r>
        <w:br/>
      </w:r>
      <w:r>
        <w:rPr>
          <w:rStyle w:val="NormalTok"/>
        </w:rPr>
        <w:t xml:space="preserve">    ├── Run1000_20230406_205644_S1_Beta12_SpatialBC_Metrics4D.csv</w:t>
      </w:r>
      <w:r>
        <w:br/>
      </w:r>
      <w:r>
        <w:rPr>
          <w:rStyle w:val="NormalTok"/>
        </w:rPr>
        <w:t xml:space="preserve">    ├── Shading</w:t>
      </w:r>
      <w:r>
        <w:br/>
      </w:r>
      <w:r>
        <w:rPr>
          <w:rStyle w:val="NormalTok"/>
        </w:rPr>
        <w:t xml:space="preserve">    ├── c902.fovs.csv</w:t>
      </w:r>
      <w:r>
        <w:br/>
      </w:r>
      <w:r>
        <w:rPr>
          <w:rStyle w:val="NormalTok"/>
        </w:rPr>
        <w:t xml:space="preserve">    └── latest.fovs.csv</w:t>
      </w:r>
    </w:p>
    <w:p>
      <w:pPr>
        <w:pStyle w:val="FirstParagraph"/>
      </w:pPr>
      <w:r>
        <w:t xml:space="preserve">There are a few ways to rearrange. The first method retains the original folder</w:t>
      </w:r>
      <w:r>
        <w:t xml:space="preserve"> </w:t>
      </w:r>
      <w:r>
        <w:t xml:space="preserve">structure and simply makes symbolic links to the data in the expected format. Here’s how</w:t>
      </w:r>
      <w:r>
        <w:t xml:space="preserve"> </w:t>
      </w:r>
      <w:r>
        <w:t xml:space="preserve">to do it in unix/mac (Windows not shown).</w:t>
      </w:r>
    </w:p>
    <w:p>
      <w:pPr>
        <w:pStyle w:val="SourceCode"/>
      </w:pPr>
      <w:r>
        <w:rPr>
          <w:rStyle w:val="NormalTok"/>
        </w:rPr>
        <w:t xml:space="preserve"># Terminal in Mac/Linux</w:t>
      </w:r>
      <w:r>
        <w:br/>
      </w:r>
      <w:r>
        <w:br/>
      </w:r>
      <w:r>
        <w:rPr>
          <w:rStyle w:val="NormalTok"/>
        </w:rPr>
        <w:t xml:space="preserve"># cd to folder containing HalfBrain. Then, </w:t>
      </w:r>
      <w:r>
        <w:br/>
      </w:r>
      <w:r>
        <w:br/>
      </w:r>
      <w:r>
        <w:rPr>
          <w:rStyle w:val="NormalTok"/>
        </w:rPr>
        <w:t xml:space="preserve">mkdir -p RawFiles &amp;&amp; cd $_</w:t>
      </w:r>
      <w:r>
        <w:br/>
      </w:r>
      <w:r>
        <w:rPr>
          <w:rStyle w:val="NormalTok"/>
        </w:rPr>
        <w:t xml:space="preserve">ln -s ../HalfBrain/AnalysisResult/HalfBrain_20230406_205644_S1/AnalysisResults .</w:t>
      </w:r>
      <w:r>
        <w:br/>
      </w:r>
      <w:r>
        <w:rPr>
          <w:rStyle w:val="NormalTok"/>
        </w:rPr>
        <w:t xml:space="preserve">ln -s ../HalfBrain/CellStatsDir/HalfBrain_20230406_205644_S1/CellStatsDir .</w:t>
      </w:r>
      <w:r>
        <w:br/>
      </w:r>
      <w:r>
        <w:rPr>
          <w:rStyle w:val="NormalTok"/>
        </w:rPr>
        <w:t xml:space="preserve">ln -s ../HalfBrain/RunSummary/HalfBrain_20230406_205644_S1/RunSummary .</w:t>
      </w:r>
    </w:p>
    <w:p>
      <w:pPr>
        <w:pStyle w:val="FirstParagraph"/>
      </w:pPr>
      <w:r>
        <w:t xml:space="preserve">Alternatively, we could manually move folders.</w:t>
      </w:r>
      <w:r>
        <w:t xml:space="preserve"> </w:t>
      </w:r>
      <w:r>
        <w:t xml:space="preserve">Specifically, in your Finder window, create a folder named</w:t>
      </w:r>
      <w:r>
        <w:t xml:space="preserve"> </w:t>
      </w:r>
      <w:r>
        <w:rPr>
          <w:rStyle w:val="VerbatimChar"/>
        </w:rPr>
        <w:t xml:space="preserve">RawData</w:t>
      </w:r>
      <w:r>
        <w:t xml:space="preserve">. Then, move:</w:t>
      </w:r>
    </w:p>
    <w:p>
      <w:pPr>
        <w:pStyle w:val="Compact"/>
        <w:numPr>
          <w:ilvl w:val="0"/>
          <w:numId w:val="1002"/>
        </w:numPr>
      </w:pPr>
      <w:r>
        <w:rPr>
          <w:rStyle w:val="VerbatimChar"/>
        </w:rPr>
        <w:t xml:space="preserve">HalfBrain/AnalysisResult/HalfBrain_20230406_205644_S1/AnalysisResults</w:t>
      </w:r>
      <w:r>
        <w:t xml:space="preserve"> </w:t>
      </w:r>
      <w:r>
        <w:t xml:space="preserve">to</w:t>
      </w:r>
      <w:r>
        <w:t xml:space="preserve"> </w:t>
      </w:r>
      <w:r>
        <w:rPr>
          <w:rStyle w:val="VerbatimChar"/>
        </w:rPr>
        <w:t xml:space="preserve">RawData/AnalysisResults</w:t>
      </w:r>
    </w:p>
    <w:p>
      <w:pPr>
        <w:pStyle w:val="Compact"/>
        <w:numPr>
          <w:ilvl w:val="0"/>
          <w:numId w:val="1002"/>
        </w:numPr>
      </w:pPr>
      <w:r>
        <w:rPr>
          <w:rStyle w:val="VerbatimChar"/>
        </w:rPr>
        <w:t xml:space="preserve">HalfBrain/CellStatsDir/HalfBrain_20230406_205644_S1/CellStatsDir</w:t>
      </w:r>
      <w:r>
        <w:t xml:space="preserve"> </w:t>
      </w:r>
      <w:r>
        <w:t xml:space="preserve">to</w:t>
      </w:r>
      <w:r>
        <w:t xml:space="preserve"> </w:t>
      </w:r>
      <w:r>
        <w:rPr>
          <w:rStyle w:val="VerbatimChar"/>
        </w:rPr>
        <w:t xml:space="preserve">RawData/CellStatsDir</w:t>
      </w:r>
    </w:p>
    <w:p>
      <w:pPr>
        <w:pStyle w:val="Compact"/>
        <w:numPr>
          <w:ilvl w:val="0"/>
          <w:numId w:val="1002"/>
        </w:numPr>
      </w:pPr>
      <w:r>
        <w:rPr>
          <w:rStyle w:val="VerbatimChar"/>
        </w:rPr>
        <w:t xml:space="preserve">HalfBrain/RunSummary/HalfBrain_20230406_205644_S1/RunSummary</w:t>
      </w:r>
      <w:r>
        <w:t xml:space="preserve"> </w:t>
      </w:r>
      <w:r>
        <w:t xml:space="preserve">to</w:t>
      </w:r>
      <w:r>
        <w:t xml:space="preserve"> </w:t>
      </w:r>
      <w:r>
        <w:rPr>
          <w:rStyle w:val="VerbatimChar"/>
        </w:rPr>
        <w:t xml:space="preserve">RawData/RunSummary</w:t>
      </w:r>
    </w:p>
    <w:p>
      <w:pPr>
        <w:pStyle w:val="FirstParagraph"/>
      </w:pPr>
      <w:r>
        <w:t xml:space="preserve">Once the file structure is properly formatted, use the</w:t>
      </w:r>
      <w:r>
        <w:t xml:space="preserve"> </w:t>
      </w:r>
      <w:hyperlink r:id="rId32">
        <w:r>
          <w:rPr>
            <w:rStyle w:val="Hyperlink"/>
          </w:rPr>
          <w:t xml:space="preserve">stitching widget method</w:t>
        </w:r>
      </w:hyperlink>
      <w:r>
        <w:t xml:space="preserve"> </w:t>
      </w:r>
      <w:r>
        <w:t xml:space="preserve">from an earlier blog post to create the mouse brain napari files.</w:t>
      </w:r>
    </w:p>
    <w:bookmarkEnd w:id="33"/>
    <w:bookmarkStart w:id="34" w:name="sec-adding-metadata"/>
    <w:p>
      <w:pPr>
        <w:pStyle w:val="Heading3"/>
      </w:pPr>
      <w:r>
        <w:t xml:space="preserve">2.1.2 Adding metadata</w:t>
      </w:r>
    </w:p>
    <w:p>
      <w:pPr>
        <w:pStyle w:val="FirstParagraph"/>
      </w:pPr>
      <w:r>
        <w:t xml:space="preserve">We will also use the cell typing data from the Seurat file. Let’s include the</w:t>
      </w:r>
      <w:r>
        <w:t xml:space="preserve"> </w:t>
      </w:r>
      <w:r>
        <w:t xml:space="preserve">following metadata columns:</w:t>
      </w:r>
    </w:p>
    <w:p>
      <w:pPr>
        <w:pStyle w:val="Compact"/>
        <w:numPr>
          <w:ilvl w:val="0"/>
          <w:numId w:val="1003"/>
        </w:numPr>
      </w:pPr>
      <w:r>
        <w:rPr>
          <w:rStyle w:val="VerbatimChar"/>
        </w:rPr>
        <w:t xml:space="preserve">RNA_nbclust_clusters</w:t>
      </w:r>
      <w:r>
        <w:t xml:space="preserve">: the cell typing results (with abbreviated names)</w:t>
      </w:r>
    </w:p>
    <w:p>
      <w:pPr>
        <w:pStyle w:val="Compact"/>
        <w:numPr>
          <w:ilvl w:val="0"/>
          <w:numId w:val="1003"/>
        </w:numPr>
      </w:pPr>
      <w:r>
        <w:rPr>
          <w:rStyle w:val="VerbatimChar"/>
        </w:rPr>
        <w:t xml:space="preserve">RNA_nbclust_clusters_long</w:t>
      </w:r>
      <w:r>
        <w:t xml:space="preserve">: (optional) human-readable cell type names</w:t>
      </w:r>
    </w:p>
    <w:p>
      <w:pPr>
        <w:pStyle w:val="Compact"/>
        <w:numPr>
          <w:ilvl w:val="0"/>
          <w:numId w:val="1003"/>
        </w:numPr>
      </w:pPr>
      <w:r>
        <w:rPr>
          <w:rStyle w:val="VerbatimChar"/>
        </w:rPr>
        <w:t xml:space="preserve">spatialClusteringAssignments</w:t>
      </w:r>
      <w:r>
        <w:t xml:space="preserve">: spatial niche assignments</w:t>
      </w:r>
    </w:p>
    <w:p>
      <w:pPr>
        <w:pStyle w:val="FirstParagraph"/>
      </w:pPr>
      <w:r>
        <w:t xml:space="preserve">Note that the Seurat file contains two sections of mouse brain samples. We need to filter</w:t>
      </w:r>
      <w:r>
        <w:t xml:space="preserve"> </w:t>
      </w:r>
      <w:r>
        <w:t xml:space="preserve">the metadata to include only those cells from</w:t>
      </w:r>
      <w:r>
        <w:t xml:space="preserve"> </w:t>
      </w:r>
      <w:r>
        <w:rPr>
          <w:rStyle w:val="VerbatimChar"/>
        </w:rPr>
        <w:t xml:space="preserve">Run1000_S1_Half</w:t>
      </w:r>
      <w:r>
        <w:t xml:space="preserve">. Note that when</w:t>
      </w:r>
      <w:r>
        <w:t xml:space="preserve"> </w:t>
      </w:r>
      <w:r>
        <w:t xml:space="preserve">preparing the metadata for napari, the cell ID must be the first column (</w:t>
      </w:r>
      <w:r>
        <w:rPr>
          <w:i/>
          <w:iCs/>
        </w:rPr>
        <w:t xml:space="preserve">i.e.</w:t>
      </w:r>
      <w:r>
        <w:t xml:space="preserve">,</w:t>
      </w:r>
      <w:r>
        <w:t xml:space="preserve"> </w:t>
      </w:r>
      <w:r>
        <w:t xml:space="preserve">see the</w:t>
      </w:r>
      <w:r>
        <w:t xml:space="preserve"> </w:t>
      </w:r>
      <w:r>
        <w:rPr>
          <w:rStyle w:val="VerbatimChar"/>
        </w:rPr>
        <w:t xml:space="preserve">relocate</w:t>
      </w:r>
      <w:r>
        <w:t xml:space="preserve"> </w:t>
      </w:r>
      <w:r>
        <w:t xml:space="preserve">verb in the code below).</w:t>
      </w:r>
    </w:p>
    <w:p>
      <w:pPr>
        <w:pStyle w:val="SourceCode"/>
      </w:pPr>
      <w:r>
        <w:rPr>
          <w:rStyle w:val="CommentTok"/>
        </w:rPr>
        <w:t xml:space="preserve"># This is R code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(Seurat)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(plyr)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(dplyr)</w:t>
      </w:r>
      <w:r>
        <w:br/>
      </w:r>
      <w:r>
        <w:rPr>
          <w:rStyle w:val="CommentTok"/>
        </w:rPr>
        <w:t xml:space="preserve"># sem_path will be wherever you downloaded your Seurat object</w:t>
      </w:r>
      <w:r>
        <w:br/>
      </w:r>
      <w:r>
        <w:rPr>
          <w:rStyle w:val="NormalTok"/>
        </w:rPr>
        <w:t xml:space="preserve">sem_path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"/path/to/your/muBrainRelease_seurat.RDS"</w:t>
      </w:r>
      <w:r>
        <w:br/>
      </w:r>
      <w:r>
        <w:rPr>
          <w:rStyle w:val="NormalTok"/>
        </w:rPr>
        <w:t xml:space="preserve">sem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readRDS</w:t>
      </w:r>
      <w:r>
        <w:rPr>
          <w:rStyle w:val="NormalTok"/>
        </w:rPr>
        <w:t xml:space="preserve">(sem_path)</w:t>
      </w:r>
      <w:r>
        <w:br/>
      </w:r>
      <w:r>
        <w:rPr>
          <w:rStyle w:val="NormalTok"/>
        </w:rPr>
        <w:t xml:space="preserve">meta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sem</w:t>
      </w:r>
      <w:r>
        <w:rPr>
          <w:rStyle w:val="SpecialCharTok"/>
        </w:rPr>
        <w:t xml:space="preserve">@</w:t>
      </w:r>
      <w:r>
        <w:rPr>
          <w:rStyle w:val="NormalTok"/>
        </w:rPr>
        <w:t xml:space="preserve">meta.data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filter</w:t>
      </w:r>
      <w:r>
        <w:rPr>
          <w:rStyle w:val="NormalTok"/>
        </w:rPr>
        <w:t xml:space="preserve">(Run_Tissue_name</w:t>
      </w:r>
      <w:r>
        <w:rPr>
          <w:rStyle w:val="SpecialCharTok"/>
        </w:rPr>
        <w:t xml:space="preserve">==</w:t>
      </w:r>
      <w:r>
        <w:rPr>
          <w:rStyle w:val="StringTok"/>
        </w:rPr>
        <w:t xml:space="preserve">"Run1000_S1_Half"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select</w:t>
      </w:r>
      <w:r>
        <w:rPr>
          <w:rStyle w:val="NormalTok"/>
        </w:rPr>
        <w:t xml:space="preserve">(RNA_nbclust_clusters, </w:t>
      </w:r>
      <w:r>
        <w:br/>
      </w:r>
      <w:r>
        <w:rPr>
          <w:rStyle w:val="NormalTok"/>
        </w:rPr>
        <w:t xml:space="preserve">  RNA_nbclust_clusters_long, </w:t>
      </w:r>
      <w:r>
        <w:br/>
      </w:r>
      <w:r>
        <w:rPr>
          <w:rStyle w:val="NormalTok"/>
        </w:rPr>
        <w:t xml:space="preserve">  spatialClusteringAssignments)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meta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cell_ID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row.names</w:t>
      </w:r>
      <w:r>
        <w:rPr>
          <w:rStyle w:val="NormalTok"/>
        </w:rPr>
        <w:t xml:space="preserve">(meta) </w:t>
      </w:r>
      <w:r>
        <w:rPr>
          <w:rStyle w:val="CommentTok"/>
        </w:rPr>
        <w:t xml:space="preserve"># adds cell_ID column</w:t>
      </w:r>
      <w:r>
        <w:br/>
      </w:r>
      <w:r>
        <w:rPr>
          <w:rStyle w:val="FunctionTok"/>
        </w:rPr>
        <w:t xml:space="preserve">rownames</w:t>
      </w:r>
      <w:r>
        <w:rPr>
          <w:rStyle w:val="NormalTok"/>
        </w:rPr>
        <w:t xml:space="preserve">(meta)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NULL</w:t>
      </w:r>
      <w:r>
        <w:br/>
      </w:r>
      <w:r>
        <w:rPr>
          <w:rStyle w:val="NormalTok"/>
        </w:rPr>
        <w:t xml:space="preserve">meta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meta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relocate</w:t>
      </w:r>
      <w:r>
        <w:rPr>
          <w:rStyle w:val="NormalTok"/>
        </w:rPr>
        <w:t xml:space="preserve">(cell_ID) </w:t>
      </w:r>
      <w:r>
        <w:rPr>
          <w:rStyle w:val="CommentTok"/>
        </w:rPr>
        <w:t xml:space="preserve"># moves cell_ID to first column position</w:t>
      </w:r>
      <w:r>
        <w:br/>
      </w:r>
      <w:r>
        <w:rPr>
          <w:rStyle w:val="FunctionTok"/>
        </w:rPr>
        <w:t xml:space="preserve">write.table</w:t>
      </w:r>
      <w:r>
        <w:rPr>
          <w:rStyle w:val="NormalTok"/>
        </w:rPr>
        <w:t xml:space="preserve">(meta, </w:t>
      </w:r>
      <w:r>
        <w:rPr>
          <w:rStyle w:val="AttributeTok"/>
        </w:rPr>
        <w:t xml:space="preserve">file=</w:t>
      </w:r>
      <w:r>
        <w:rPr>
          <w:rStyle w:val="StringTok"/>
        </w:rPr>
        <w:t xml:space="preserve">"/path/to/inside/napari-ready-folder/_metadata.csv"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 xml:space="preserve">sep=</w:t>
      </w:r>
      <w:r>
        <w:rPr>
          <w:rStyle w:val="StringTok"/>
        </w:rPr>
        <w:t xml:space="preserve">","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col.names=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row.names=</w:t>
      </w:r>
      <w:r>
        <w:rPr>
          <w:rStyle w:val="ConstantTok"/>
        </w:rPr>
        <w:t xml:space="preserve">FALSE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quote=</w:t>
      </w:r>
      <w:r>
        <w:rPr>
          <w:rStyle w:val="ConstantTok"/>
        </w:rPr>
        <w:t xml:space="preserve">FALSE</w:t>
      </w:r>
      <w:r>
        <w:rPr>
          <w:rStyle w:val="NormalTok"/>
        </w:rPr>
        <w:t xml:space="preserve">)</w:t>
      </w:r>
    </w:p>
    <w:p>
      <w:pPr>
        <w:pStyle w:val="FirstParagraph"/>
      </w:pPr>
      <w:r>
        <w:t xml:space="preserve">Now that the data are ready, drag and drop the slide folder into napari to launch</w:t>
      </w:r>
      <w:r>
        <w:t xml:space="preserve"> </w:t>
      </w:r>
      <w:r>
        <w:t xml:space="preserve">the plugin.</w:t>
      </w:r>
    </w:p>
    <w:bookmarkEnd w:id="34"/>
    <w:bookmarkEnd w:id="35"/>
    <w:bookmarkEnd w:id="36"/>
    <w:bookmarkStart w:id="58" w:name="sec-interacting-with-the-gui"/>
    <w:p>
      <w:pPr>
        <w:pStyle w:val="Heading1"/>
      </w:pPr>
      <w:r>
        <w:t xml:space="preserve">3. Interacting with the GUI</w:t>
      </w:r>
    </w:p>
    <w:p>
      <w:pPr>
        <w:pStyle w:val="FirstParagraph"/>
      </w:pPr>
      <w:r>
        <w:t xml:space="preserve">This section focuses on features relevant to the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plugin. Users new to napari may find napari’s general</w:t>
      </w:r>
      <w:r>
        <w:t xml:space="preserve"> </w:t>
      </w:r>
      <w:hyperlink r:id="rId37">
        <w:r>
          <w:rPr>
            <w:rStyle w:val="Hyperlink"/>
          </w:rPr>
          <w:t xml:space="preserve">viewer tutorial</w:t>
        </w:r>
      </w:hyperlink>
      <w:r>
        <w:t xml:space="preserve"> </w:t>
      </w:r>
      <w:r>
        <w:t xml:space="preserve">helpful as well.</w:t>
      </w:r>
    </w:p>
    <w:p>
      <w:pPr>
        <w:pStyle w:val="BodyText"/>
      </w:pPr>
      <w:r>
        <w:t xml:space="preserve">When we open a slide with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, by default there will be a few napari</w:t>
      </w:r>
      <w:r>
        <w:t xml:space="preserve"> </w:t>
      </w:r>
      <w:r>
        <w:t xml:space="preserve">layers visible (Initial View tab;</w:t>
      </w:r>
      <w:r>
        <w:t xml:space="preserve"> </w:t>
      </w:r>
      <w:hyperlink w:anchor="fig-initial">
        <w:r>
          <w:rPr>
            <w:rStyle w:val="Hyperlink"/>
          </w:rPr>
          <w:t xml:space="preserve">Figure 2</w:t>
        </w:r>
      </w:hyperlink>
      <w:r>
        <w:t xml:space="preserve">). These include</w:t>
      </w:r>
      <w:r>
        <w:t xml:space="preserve"> </w:t>
      </w:r>
      <w:r>
        <w:rPr>
          <w:rStyle w:val="VerbatimChar"/>
        </w:rPr>
        <w:t xml:space="preserve">FOV labels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Segmentation</w:t>
      </w:r>
      <w:r>
        <w:t xml:space="preserve">. Clicking the eye</w:t>
      </w:r>
      <w:r>
        <w:t xml:space="preserve"> </w:t>
      </w:r>
      <w:r>
        <w:t xml:space="preserve">icon next to a layer will change its visibility. Let’s turn off those layers</w:t>
      </w:r>
      <w:r>
        <w:t xml:space="preserve"> </w:t>
      </w:r>
      <w:r>
        <w:t xml:space="preserve">for a moment and visualize the cell types from the</w:t>
      </w:r>
      <w:r>
        <w:t xml:space="preserve"> </w:t>
      </w:r>
      <w:r>
        <w:rPr>
          <w:rStyle w:val="VerbatimChar"/>
        </w:rPr>
        <w:t xml:space="preserve">RNA_nbclust_clusters</w:t>
      </w:r>
      <w:r>
        <w:t xml:space="preserve"> </w:t>
      </w:r>
      <w:r>
        <w:t xml:space="preserve">column</w:t>
      </w:r>
      <w:r>
        <w:t xml:space="preserve"> </w:t>
      </w:r>
      <w:r>
        <w:t xml:space="preserve">(Cell Types tab;</w:t>
      </w:r>
      <w:r>
        <w:t xml:space="preserve"> </w:t>
      </w:r>
      <w:hyperlink w:anchor="fig-cell-types">
        <w:r>
          <w:rPr>
            <w:rStyle w:val="Hyperlink"/>
          </w:rPr>
          <w:t xml:space="preserve">Figure 3</w:t>
        </w:r>
      </w:hyperlink>
      <w:r>
        <w:t xml:space="preserve">). We can also color cells by their spatialClusteringAssignments values (Niches tab;</w:t>
      </w:r>
      <w:r>
        <w:t xml:space="preserve"> </w:t>
      </w:r>
      <w:hyperlink w:anchor="fig-niches">
        <w:r>
          <w:rPr>
            <w:rStyle w:val="Hyperlink"/>
          </w:rPr>
          <w:t xml:space="preserve">Figure 4</w:t>
        </w:r>
      </w:hyperlink>
      <w:r>
        <w:t xml:space="preserve">).</w:t>
      </w:r>
      <w:r>
        <w:t xml:space="preserve"> </w:t>
      </w:r>
      <w:r>
        <w:t xml:space="preserve">In the</w:t>
      </w:r>
      <w:r>
        <w:t xml:space="preserve"> </w:t>
      </w:r>
      <w:r>
        <w:rPr>
          <w:rStyle w:val="VerbatimChar"/>
        </w:rPr>
        <w:t xml:space="preserve">Color Cells</w:t>
      </w:r>
      <w:r>
        <w:t xml:space="preserve"> </w:t>
      </w:r>
      <w:r>
        <w:t xml:space="preserve">widget, we can control which cell types or niches</w:t>
      </w:r>
      <w:r>
        <w:t xml:space="preserve"> </w:t>
      </w:r>
      <w:r>
        <w:t xml:space="preserve">we would like to view. When we activate the</w:t>
      </w:r>
      <w:r>
        <w:t xml:space="preserve"> </w:t>
      </w:r>
      <w:r>
        <w:rPr>
          <w:rStyle w:val="VerbatimChar"/>
        </w:rPr>
        <w:t xml:space="preserve">Metadata</w:t>
      </w:r>
      <w:r>
        <w:t xml:space="preserve"> </w:t>
      </w:r>
      <w:r>
        <w:t xml:space="preserve">layer, hovering over</w:t>
      </w:r>
      <w:r>
        <w:t xml:space="preserve"> </w:t>
      </w:r>
      <w:r>
        <w:t xml:space="preserve">a given cell will display the metadata associated with it as a ribbon at the bottom</w:t>
      </w:r>
      <w:r>
        <w:t xml:space="preserve"> </w:t>
      </w:r>
      <w:r>
        <w:t xml:space="preserve">of the application. To view the IF channels, use</w:t>
      </w:r>
      <w:r>
        <w:t xml:space="preserve"> </w:t>
      </w:r>
      <w:r>
        <w:t xml:space="preserve">the</w:t>
      </w:r>
      <w:r>
        <w:t xml:space="preserve"> </w:t>
      </w:r>
      <w:r>
        <w:rPr>
          <w:rStyle w:val="VerbatimChar"/>
        </w:rPr>
        <w:t xml:space="preserve">Morphology Images</w:t>
      </w:r>
      <w:r>
        <w:t xml:space="preserve"> </w:t>
      </w:r>
      <w:r>
        <w:t xml:space="preserve">widget, In</w:t>
      </w:r>
      <w:r>
        <w:t xml:space="preserve"> </w:t>
      </w:r>
      <w:hyperlink w:anchor="fig-IF">
        <w:r>
          <w:rPr>
            <w:rStyle w:val="Hyperlink"/>
          </w:rPr>
          <w:t xml:space="preserve">Figure 5</w:t>
        </w:r>
      </w:hyperlink>
      <w:r>
        <w:t xml:space="preserve"> </w:t>
      </w:r>
      <w:r>
        <w:t xml:space="preserve">(IF Channels tab) I turned off the visibility of the cell</w:t>
      </w:r>
      <w:r>
        <w:t xml:space="preserve"> </w:t>
      </w:r>
      <w:r>
        <w:t xml:space="preserve">types, added GFAP in red and DNA in cyan, and zoomed into the hippocampus. When</w:t>
      </w:r>
      <w:r>
        <w:t xml:space="preserve"> </w:t>
      </w:r>
      <w:r>
        <w:t xml:space="preserve">I click on a layer, it becomes the activate layer and I can use the</w:t>
      </w:r>
      <w:r>
        <w:t xml:space="preserve"> </w:t>
      </w:r>
      <w:r>
        <w:rPr>
          <w:rStyle w:val="VerbatimChar"/>
        </w:rPr>
        <w:t xml:space="preserve">layer controls</w:t>
      </w:r>
      <w:r>
        <w:t xml:space="preserve"> </w:t>
      </w:r>
      <w:r>
        <w:t xml:space="preserve">widget</w:t>
      </w:r>
      <w:r>
        <w:t xml:space="preserve"> </w:t>
      </w:r>
      <w:r>
        <w:t xml:space="preserve">to adjust attributes to that layer such as contrast</w:t>
      </w:r>
      <w:r>
        <w:t xml:space="preserve"> </w:t>
      </w:r>
      <w:r>
        <w:t xml:space="preserve">limits, gamma, layer blending, and more. Finally, we can view raw transcripts</w:t>
      </w:r>
      <w:r>
        <w:t xml:space="preserve"> </w:t>
      </w:r>
      <w:r>
        <w:t xml:space="preserve">(or proteins). Simply select the target and the color and click</w:t>
      </w:r>
      <w:r>
        <w:t xml:space="preserve"> </w:t>
      </w:r>
      <w:r>
        <w:rPr>
          <w:rStyle w:val="VerbatimChar"/>
        </w:rPr>
        <w:t xml:space="preserve">Add layer</w:t>
      </w:r>
      <w:r>
        <w:t xml:space="preserve">. In</w:t>
      </w:r>
      <w:r>
        <w:t xml:space="preserve"> </w:t>
      </w:r>
      <w:hyperlink w:anchor="fig-tx">
        <w:r>
          <w:rPr>
            <w:rStyle w:val="Hyperlink"/>
          </w:rPr>
          <w:t xml:space="preserve">Figure 6</w:t>
        </w:r>
      </w:hyperlink>
      <w:r>
        <w:t xml:space="preserve"> </w:t>
      </w:r>
      <w:r>
        <w:t xml:space="preserve">(Transcripts tab), I zoomed in on a section of the cortex and plotted</w:t>
      </w:r>
      <w:r>
        <w:t xml:space="preserve"> </w:t>
      </w:r>
      <w:r>
        <w:rPr>
          <w:i/>
          <w:iCs/>
        </w:rPr>
        <w:t xml:space="preserve">Calb1</w:t>
      </w:r>
      <w:r>
        <w:t xml:space="preserve">.</w:t>
      </w:r>
    </w:p>
    <w:p>
      <w:pPr>
        <w:pStyle w:val="BodyText"/>
      </w:pPr>
      <w:r>
        <w:t xml:space="preserve">Like other programs that use layers, napari allows the layers to be moved up/down</w:t>
      </w:r>
      <w:r>
        <w:t xml:space="preserve"> </w:t>
      </w:r>
      <w:r>
        <w:t xml:space="preserve">and to blend (not shown below).</w:t>
      </w:r>
    </w:p>
    <w:p>
      <w:pPr>
        <w:pStyle w:val="Heading2"/>
      </w:pPr>
      <w:r>
        <w:t xml:space="preserve">Initial View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1" w:name="fig-initial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39" name="Picture"/>
                  <a:graphic>
                    <a:graphicData uri="http://schemas.openxmlformats.org/drawingml/2006/picture">
                      <pic:pic>
                        <pic:nvPicPr>
                          <pic:cNvPr descr="./figures/fig-initial.png" id="40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2: The initial view of the tissue shows the location of FOVs and cell boundary layers. Yellow arrow shows location of ipython terminal.</w:t>
            </w:r>
          </w:p>
          <w:bookmarkEnd w:id="41"/>
        </w:tc>
      </w:tr>
    </w:tbl>
    <w:p>
      <w:pPr>
        <w:pStyle w:val="Heading2"/>
      </w:pPr>
      <w:r>
        <w:t xml:space="preserve">Cell Types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5" w:name="fig-cell-types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43" name="Picture"/>
                  <a:graphic>
                    <a:graphicData uri="http://schemas.openxmlformats.org/drawingml/2006/picture">
                      <pic:pic>
                        <pic:nvPicPr>
                          <pic:cNvPr descr="./figures/fig-cell-types-short.png" id="44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3: Same extent as</w:t>
            </w:r>
            <w:r>
              <w:t xml:space="preserve"> </w:t>
            </w:r>
            <w:hyperlink w:anchor="fig-initial">
              <w:r>
                <w:rPr>
                  <w:rStyle w:val="Hyperlink"/>
                </w:rPr>
                <w:t xml:space="preserve">Figure 2</w:t>
              </w:r>
            </w:hyperlink>
            <w:r>
              <w:t xml:space="preserve"> </w:t>
            </w:r>
            <w:r>
              <w:t xml:space="preserve">and displaying the cell type from the</w:t>
            </w:r>
            <w:r>
              <w:t xml:space="preserve"> </w:t>
            </w:r>
            <w:r>
              <w:t xml:space="preserve">‘RNA_nbclust_clusters’</w:t>
            </w:r>
            <w:r>
              <w:t xml:space="preserve">.</w:t>
            </w:r>
          </w:p>
          <w:bookmarkEnd w:id="45"/>
        </w:tc>
      </w:tr>
    </w:tbl>
    <w:p>
      <w:pPr>
        <w:pStyle w:val="Heading2"/>
      </w:pPr>
      <w:r>
        <w:t xml:space="preserve">Niches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9" w:name="fig-niches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47" name="Picture"/>
                  <a:graphic>
                    <a:graphicData uri="http://schemas.openxmlformats.org/drawingml/2006/picture">
                      <pic:pic>
                        <pic:nvPicPr>
                          <pic:cNvPr descr="./figures/fig-niches.png" id="48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4: Cells colored by niche</w:t>
            </w:r>
          </w:p>
          <w:bookmarkEnd w:id="49"/>
        </w:tc>
      </w:tr>
    </w:tbl>
    <w:p>
      <w:pPr>
        <w:pStyle w:val="Heading2"/>
      </w:pPr>
      <w:r>
        <w:t xml:space="preserve">IF Channels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53" w:name="fig-IF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51" name="Picture"/>
                  <a:graphic>
                    <a:graphicData uri="http://schemas.openxmlformats.org/drawingml/2006/picture">
                      <pic:pic>
                        <pic:nvPicPr>
                          <pic:cNvPr descr="./figures/fig-IF.png" id="5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5: Hippocampal region of tissue with GFAP (red) and DNA (cyan).</w:t>
            </w:r>
          </w:p>
          <w:bookmarkEnd w:id="53"/>
        </w:tc>
      </w:tr>
    </w:tbl>
    <w:p>
      <w:pPr>
        <w:pStyle w:val="Heading2"/>
      </w:pPr>
      <w:r>
        <w:t xml:space="preserve">Transcripts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57" w:name="fig-tx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55" name="Picture"/>
                  <a:graphic>
                    <a:graphicData uri="http://schemas.openxmlformats.org/drawingml/2006/picture">
                      <pic:pic>
                        <pic:nvPicPr>
                          <pic:cNvPr descr="./figures/fig-transcripts.png" id="5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6: Expression of</w:t>
            </w:r>
            <w:r>
              <w:t xml:space="preserve"> </w:t>
            </w:r>
            <w:r>
              <w:rPr>
                <w:i/>
                <w:iCs/>
              </w:rPr>
              <w:t xml:space="preserve">Calb1</w:t>
            </w:r>
            <w:r>
              <w:t xml:space="preserve"> </w:t>
            </w:r>
            <w:r>
              <w:t xml:space="preserve">(white dots) in cortex layer I.</w:t>
            </w:r>
          </w:p>
          <w:bookmarkEnd w:id="57"/>
        </w:tc>
      </w:tr>
    </w:tbl>
    <w:p>
      <w:pPr>
        <w:pStyle w:val="BodyText"/>
      </w:pPr>
      <w:r>
        <w:t xml:space="preserve">To capture screenshots, simply click</w:t>
      </w:r>
      <w:r>
        <w:t xml:space="preserve"> </w:t>
      </w:r>
      <w:r>
        <w:rPr>
          <w:rStyle w:val="VerbatimChar"/>
        </w:rPr>
        <w:t xml:space="preserve">File &gt; Save Screenshot...</w:t>
      </w:r>
      <w:r>
        <w:t xml:space="preserve">. The images</w:t>
      </w:r>
      <w:r>
        <w:t xml:space="preserve"> </w:t>
      </w:r>
      <w:r>
        <w:t xml:space="preserve">above are captured</w:t>
      </w:r>
      <w:r>
        <w:t xml:space="preserve"> </w:t>
      </w:r>
      <w:r>
        <w:t xml:space="preserve">“with viewer”</w:t>
      </w:r>
      <w:r>
        <w:t xml:space="preserve"> </w:t>
      </w:r>
      <w:r>
        <w:t xml:space="preserve">but that is optional.</w:t>
      </w:r>
    </w:p>
    <w:bookmarkEnd w:id="58"/>
    <w:bookmarkStart w:id="104" w:name="sec-scripting"/>
    <w:p>
      <w:pPr>
        <w:pStyle w:val="Heading1"/>
      </w:pPr>
      <w:r>
        <w:t xml:space="preserve">4. Scripting with</w:t>
      </w:r>
      <w:r>
        <w:t xml:space="preserve"> </w:t>
      </w:r>
      <w:r>
        <w:rPr>
          <w:rStyle w:val="VerbatimChar"/>
        </w:rPr>
        <w:t xml:space="preserve">napari-cosmx</w:t>
      </w:r>
    </w:p>
    <w:p>
      <w:pPr>
        <w:pStyle w:val="FirstParagraph"/>
      </w:pPr>
      <w:r>
        <w:t xml:space="preserve">This section is for advanced users who want finer control of the aesthetics.</w:t>
      </w:r>
    </w:p>
    <w:p>
      <w:pPr>
        <w:pStyle w:val="BodyText"/>
      </w:pPr>
      <w:r>
        <w:t xml:space="preserve">Most of the items we’ve covered can also be accessed through various methods in the</w:t>
      </w:r>
      <w:r>
        <w:t xml:space="preserve"> </w:t>
      </w:r>
      <w:r>
        <w:rPr>
          <w:rStyle w:val="VerbatimChar"/>
        </w:rPr>
        <w:t xml:space="preserve">gem</w:t>
      </w:r>
      <w:r>
        <w:t xml:space="preserve"> </w:t>
      </w:r>
      <w:r>
        <w:t xml:space="preserve">object</w:t>
      </w:r>
      <w:r>
        <w:t xml:space="preserve"> </w:t>
      </w:r>
      <w:r>
        <w:t xml:space="preserve">that can found loaded in the</w:t>
      </w:r>
      <w:r>
        <w:t xml:space="preserve"> </w:t>
      </w:r>
      <w:r>
        <w:rPr>
          <w:rStyle w:val="VerbatimChar"/>
        </w:rPr>
        <w:t xml:space="preserve">&gt;_</w:t>
      </w:r>
      <w:r>
        <w:t xml:space="preserve"> </w:t>
      </w:r>
      <w:r>
        <w:rPr>
          <w:rStyle w:val="VerbatimChar"/>
        </w:rPr>
        <w:t xml:space="preserve">ipython</w:t>
      </w:r>
      <w:r>
        <w:t xml:space="preserve"> </w:t>
      </w:r>
      <w:r>
        <w:t xml:space="preserve">interpreter (</w:t>
      </w:r>
      <w:r>
        <w:rPr>
          <w:i/>
          <w:iCs/>
        </w:rPr>
        <w:t xml:space="preserve">i.e.</w:t>
      </w:r>
      <w:r>
        <w:t xml:space="preserve">, yellow arrow in</w:t>
      </w:r>
      <w:r>
        <w:t xml:space="preserve"> </w:t>
      </w:r>
      <w:hyperlink w:anchor="fig-initial">
        <w:r>
          <w:rPr>
            <w:rStyle w:val="Hyperlink"/>
          </w:rPr>
          <w:t xml:space="preserve">Figure 2</w:t>
        </w:r>
      </w:hyperlink>
      <w:r>
        <w:t xml:space="preserve">). You may have</w:t>
      </w:r>
      <w:r>
        <w:t xml:space="preserve"> </w:t>
      </w:r>
      <w:r>
        <w:t xml:space="preserve">noticed in the figures above that there was code being used to take the screenshots. Here’s the full script</w:t>
      </w:r>
      <w:r>
        <w:t xml:space="preserve"> </w:t>
      </w:r>
      <w:r>
        <w:t xml:space="preserve">that can help reproduce the figures above. I use reproducible</w:t>
      </w:r>
      <w:r>
        <w:t xml:space="preserve"> </w:t>
      </w:r>
      <w:r>
        <w:t xml:space="preserve">scripts often. This is because I may want to make slight changes to a figure</w:t>
      </w:r>
      <w:r>
        <w:t xml:space="preserve"> </w:t>
      </w:r>
      <w:r>
        <w:t xml:space="preserve">down the road. For example, if a reviewer overall likes an image but asks for the cell</w:t>
      </w:r>
      <w:r>
        <w:t xml:space="preserve"> </w:t>
      </w:r>
      <w:r>
        <w:t xml:space="preserve">colors to be different, I just need to change the colors in the code and the script</w:t>
      </w:r>
      <w:r>
        <w:t xml:space="preserve"> </w:t>
      </w:r>
      <w:r>
        <w:t xml:space="preserve">will pan and zoom where needed, set the IF channels and contrasts, and reproduce</w:t>
      </w:r>
      <w:r>
        <w:t xml:space="preserve"> </w:t>
      </w:r>
      <w:r>
        <w:t xml:space="preserve">other layers programmatically.</w:t>
      </w:r>
    </w:p>
    <w:p>
      <w:pPr>
        <w:pStyle w:val="SourceCode"/>
      </w:pPr>
      <w:r>
        <w:rPr>
          <w:rStyle w:val="NormalTok"/>
        </w:rPr>
        <w:t xml:space="preserve">import imageio</w:t>
      </w:r>
      <w:r>
        <w:br/>
      </w:r>
      <w:r>
        <w:br/>
      </w:r>
      <w:r>
        <w:rPr>
          <w:rStyle w:val="NormalTok"/>
        </w:rPr>
        <w:t xml:space="preserve">output_path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'path/to/store/figures'</w:t>
      </w:r>
      <w:r>
        <w:br/>
      </w:r>
      <w:r>
        <w:br/>
      </w:r>
      <w:r>
        <w:rPr>
          <w:rStyle w:val="DocumentationTok"/>
        </w:rPr>
        <w:t xml:space="preserve">## Initial</w:t>
      </w:r>
      <w:r>
        <w:br/>
      </w:r>
      <w:r>
        <w:rPr>
          <w:rStyle w:val="FunctionTok"/>
        </w:rPr>
        <w:t xml:space="preserve">gem.show_widget</w:t>
      </w:r>
      <w:r>
        <w:rPr>
          <w:rStyle w:val="NormalTok"/>
        </w:rPr>
        <w:t xml:space="preserve">()</w:t>
      </w:r>
      <w:r>
        <w:br/>
      </w:r>
      <w:r>
        <w:rPr>
          <w:rStyle w:val="FunctionTok"/>
        </w:rPr>
        <w:t xml:space="preserve">gem.viewer.window.resize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1650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1100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FloatTok"/>
        </w:rPr>
        <w:t xml:space="preserve">0.6830708351616575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57.16103351264418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128.0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"/fig-initial.png"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rPr>
          <w:rStyle w:val="DocumentationTok"/>
        </w:rPr>
        <w:t xml:space="preserve">## Cell types only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'FOV labels'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"/fig-cell-types-short.png"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rPr>
          <w:rStyle w:val="DocumentationTok"/>
        </w:rPr>
        <w:t xml:space="preserve">## Niches</w:t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'spatialClusteringAssignments'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"/fig-niches.png"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rPr>
          <w:rStyle w:val="CommentTok"/>
        </w:rPr>
        <w:t xml:space="preserve"># IF only</w:t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FunctionTok"/>
        </w:rPr>
        <w:t xml:space="preserve">gem.add_channel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'GFAP'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colormap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'red'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gfap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'GFAP'</w:t>
      </w:r>
      <w:r>
        <w:rPr>
          <w:rStyle w:val="NormalTok"/>
        </w:rPr>
        <w:t xml:space="preserve">]</w:t>
      </w:r>
      <w:r>
        <w:br/>
      </w:r>
      <w:r>
        <w:br/>
      </w:r>
      <w:r>
        <w:rPr>
          <w:rStyle w:val="FunctionTok"/>
        </w:rPr>
        <w:t xml:space="preserve">gem.add_channel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'DNA'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colormap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'cyan'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dna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'DNA'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dna.contrast_limits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[</w:t>
      </w:r>
      <w:r>
        <w:rPr>
          <w:rStyle w:val="FloatTok"/>
        </w:rPr>
        <w:t xml:space="preserve">208.39669421487605</w:t>
      </w:r>
      <w:r>
        <w:rPr>
          <w:rStyle w:val="NormalTok"/>
        </w:rPr>
        <w:t xml:space="preserve">, </w:t>
      </w:r>
      <w:r>
        <w:rPr>
          <w:rStyle w:val="FloatTok"/>
        </w:rPr>
        <w:t xml:space="preserve">1328.5289256198346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dna.gamma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1.1682758620689655</w:t>
      </w:r>
      <w:r>
        <w:br/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0.7181216373638928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55.314605674992876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1095.856465340922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0.371900826446281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"/fig-IF.png"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br/>
      </w:r>
      <w:r>
        <w:rPr>
          <w:rStyle w:val="CommentTok"/>
        </w:rPr>
        <w:t xml:space="preserve"># Transcripts</w:t>
      </w:r>
      <w:r>
        <w:br/>
      </w:r>
      <w:r>
        <w:rPr>
          <w:rStyle w:val="NormalTok"/>
        </w:rPr>
        <w:t xml:space="preserve">cell_type_layer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cell_type_layer.opacity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0.9</w:t>
      </w:r>
      <w:r>
        <w:br/>
      </w:r>
      <w:r>
        <w:rPr>
          <w:rStyle w:val="NormalTok"/>
        </w:rPr>
        <w:t xml:space="preserve">cell_type_layer.visible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0.009723512204714457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59.25760232977486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1204.3755331686673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0.6</w:t>
      </w:r>
      <w:r>
        <w:br/>
      </w: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'white'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50</w:t>
      </w:r>
      <w:r>
        <w:rPr>
          <w:rStyle w:val="NormalTok"/>
        </w:rPr>
        <w:t xml:space="preserve">) </w:t>
      </w:r>
      <w:r>
        <w:rPr>
          <w:rStyle w:val="CommentTok"/>
        </w:rPr>
        <w:t xml:space="preserve"># I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"/fig-transcripts.png"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p>
      <w:pPr>
        <w:pStyle w:val="FirstParagraph"/>
      </w:pPr>
      <w:r>
        <w:t xml:space="preserve">In practice, I use the GUI to adjust the settings (</w:t>
      </w:r>
      <w:r>
        <w:rPr>
          <w:i/>
          <w:iCs/>
        </w:rPr>
        <w:t xml:space="preserve">e.g.</w:t>
      </w:r>
      <w:r>
        <w:t xml:space="preserve">, zoom, opacity) and then</w:t>
      </w:r>
      <w:r>
        <w:t xml:space="preserve"> </w:t>
      </w:r>
      <w:r>
        <w:t xml:space="preserve">“jot down”</w:t>
      </w:r>
      <w:r>
        <w:t xml:space="preserve"> </w:t>
      </w:r>
      <w:r>
        <w:t xml:space="preserve">the results in my text editor. For example, when I zoom or pan to another location,</w:t>
      </w:r>
      <w:r>
        <w:t xml:space="preserve"> </w:t>
      </w:r>
      <w:r>
        <w:t xml:space="preserve">that location can be found at:</w:t>
      </w:r>
    </w:p>
    <w:p>
      <w:pPr>
        <w:pStyle w:val="SourceCode"/>
      </w:pPr>
      <w:r>
        <w:rPr>
          <w:rStyle w:val="NormalTok"/>
        </w:rPr>
        <w:t xml:space="preserve">gem.viewer.camera.zoom</w:t>
      </w:r>
      <w:r>
        <w:br/>
      </w:r>
      <w:r>
        <w:rPr>
          <w:rStyle w:val="NormalTok"/>
        </w:rPr>
        <w:t xml:space="preserve">gem.viewer.camera.center</w:t>
      </w:r>
    </w:p>
    <w:p>
      <w:pPr>
        <w:pStyle w:val="FirstParagraph"/>
      </w:pPr>
      <w:r>
        <w:t xml:space="preserve">Similarly, the contrast limits and gamma values for IF channels can be saved as well.</w:t>
      </w:r>
    </w:p>
    <w:p>
      <w:pPr>
        <w:pStyle w:val="SourceCode"/>
      </w:pPr>
      <w:r>
        <w:rPr>
          <w:rStyle w:val="NormalTok"/>
        </w:rPr>
        <w:t xml:space="preserve">dna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'DNA'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dna.contrast_limits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[</w:t>
      </w:r>
      <w:r>
        <w:rPr>
          <w:rStyle w:val="FloatTok"/>
        </w:rPr>
        <w:t xml:space="preserve">208.39669421487605</w:t>
      </w:r>
      <w:r>
        <w:rPr>
          <w:rStyle w:val="NormalTok"/>
        </w:rPr>
        <w:t xml:space="preserve">, </w:t>
      </w:r>
      <w:r>
        <w:rPr>
          <w:rStyle w:val="FloatTok"/>
        </w:rPr>
        <w:t xml:space="preserve">1328.5289256198346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dna.gamma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1.1682758620689655</w:t>
      </w:r>
    </w:p>
    <w:p>
      <w:pPr>
        <w:pStyle w:val="FirstParagraph"/>
      </w:pPr>
      <w:r>
        <w:t xml:space="preserve">Screenshots can be done programmatically with the napari’s</w:t>
      </w:r>
      <w:r>
        <w:t xml:space="preserve"> </w:t>
      </w:r>
      <w:r>
        <w:rPr>
          <w:rStyle w:val="VerbatimChar"/>
        </w:rPr>
        <w:t xml:space="preserve">screenshot</w:t>
      </w:r>
      <w:r>
        <w:t xml:space="preserve"> </w:t>
      </w:r>
      <w:r>
        <w:t xml:space="preserve">method</w:t>
      </w:r>
      <w:r>
        <w:t xml:space="preserve"> </w:t>
      </w:r>
      <w:r>
        <w:t xml:space="preserve">and there are additional settings you can change (</w:t>
      </w:r>
      <w:r>
        <w:rPr>
          <w:i/>
          <w:iCs/>
        </w:rPr>
        <w:t xml:space="preserve">e.g.</w:t>
      </w:r>
      <w:r>
        <w:t xml:space="preserve">, just the canvas, scale)</w:t>
      </w:r>
      <w:r>
        <w:t xml:space="preserve"> </w:t>
      </w:r>
      <w:r>
        <w:t xml:space="preserve">that we won’t cover here.</w:t>
      </w:r>
    </w:p>
    <w:p>
      <w:pPr>
        <w:pStyle w:val="SourceCode"/>
      </w:pP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"/fig-transcripts.png"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p>
      <w:pPr>
        <w:pStyle w:val="FirstParagraph"/>
      </w:pPr>
      <w:r>
        <w:t xml:space="preserve">There are also methods available in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that do not have the GUI</w:t>
      </w:r>
      <w:r>
        <w:t xml:space="preserve"> </w:t>
      </w:r>
      <w:r>
        <w:t xml:space="preserve">equivalent. We won’t be able to touch on all of these methods in this post but I</w:t>
      </w:r>
      <w:r>
        <w:t xml:space="preserve"> </w:t>
      </w:r>
      <w:r>
        <w:t xml:space="preserve">want to highlight a few.</w:t>
      </w:r>
    </w:p>
    <w:bookmarkStart w:id="63" w:name="color-cells-with-outlines"/>
    <w:p>
      <w:pPr>
        <w:pStyle w:val="Heading2"/>
      </w:pPr>
      <w:r>
        <w:t xml:space="preserve">4.1 Color cells with outlines</w:t>
      </w:r>
    </w:p>
    <w:p>
      <w:pPr>
        <w:pStyle w:val="FirstParagraph"/>
      </w:pPr>
      <w:r>
        <w:t xml:space="preserve">We can plot the cell colors as boundaries instead of filled in polygons (</w:t>
      </w:r>
      <w:hyperlink w:anchor="fig-contours">
        <w:r>
          <w:rPr>
            <w:rStyle w:val="Hyperlink"/>
          </w:rPr>
          <w:t xml:space="preserve">Figure 7</w:t>
        </w:r>
      </w:hyperlink>
      <w:r>
        <w:t xml:space="preserve">).</w:t>
      </w:r>
    </w:p>
    <w:p>
      <w:pPr>
        <w:pStyle w:val="SourceCode"/>
      </w:pPr>
      <w:r>
        <w:rPr>
          <w:rStyle w:val="CommentTok"/>
        </w:rPr>
        <w:t xml:space="preserve"># gem.viewer.camera.center = (0.0, -0.5375926704126319, -54.7415680001114)</w:t>
      </w:r>
      <w:r>
        <w:br/>
      </w:r>
      <w:r>
        <w:rPr>
          <w:rStyle w:val="CommentTok"/>
        </w:rPr>
        <w:t xml:space="preserve"># gem.viewer.camera.zoom = 1371.524539264374</w:t>
      </w:r>
      <w:r>
        <w:br/>
      </w:r>
      <w:r>
        <w:br/>
      </w:r>
      <w:r>
        <w:rPr>
          <w:rStyle w:val="NormalTok"/>
        </w:rPr>
        <w:t xml:space="preserve">gfap.visible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dna.visible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'Calb1'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'Npy'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'Targets'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0.6346878790298397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54.95271110236874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2113.6387223301786</w:t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contour=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"/fig-contours.png"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62" w:name="fig-contours"/>
          <w:p>
            <w:pPr>
              <w:pStyle w:val="Compact"/>
              <w:jc w:val="center"/>
            </w:pPr>
            <w:r>
              <w:drawing>
                <wp:inline>
                  <wp:extent cx="1183341" cy="970477"/>
                  <wp:effectExtent b="0" l="0" r="0" t="0"/>
                  <wp:docPr descr="" title="" id="60" name="Picture"/>
                  <a:graphic>
                    <a:graphicData uri="http://schemas.openxmlformats.org/drawingml/2006/picture">
                      <pic:pic>
                        <pic:nvPicPr>
                          <pic:cNvPr descr="./figures/fig-contours.png" id="6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97047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7: Cells types (or other metadata items) can be represented as cell boundaries.</w:t>
            </w:r>
          </w:p>
          <w:bookmarkEnd w:id="62"/>
        </w:tc>
      </w:tr>
    </w:tbl>
    <w:bookmarkEnd w:id="63"/>
    <w:bookmarkStart w:id="64" w:name="X5917e82b56166d43cec2276607880084941e34e"/>
    <w:p>
      <w:pPr>
        <w:pStyle w:val="Heading2"/>
      </w:pPr>
      <w:r>
        <w:t xml:space="preserve">4.2 Plot transcripts with an expanded color pallette</w:t>
      </w:r>
    </w:p>
    <w:p>
      <w:pPr>
        <w:pStyle w:val="FirstParagraph"/>
      </w:pPr>
      <w:r>
        <w:t xml:space="preserve">The GUI offers a handful of colors to plot transcripts. We can specify which color,</w:t>
      </w:r>
      <w:r>
        <w:t xml:space="preserve"> </w:t>
      </w:r>
      <w:r>
        <w:t xml:space="preserve">by name or by hexcode, to plot. For example:</w:t>
      </w:r>
    </w:p>
    <w:p>
      <w:pPr>
        <w:pStyle w:val="SourceCode"/>
      </w:pP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'pink'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</w:t>
      </w:r>
    </w:p>
    <w:p>
      <w:pPr>
        <w:pStyle w:val="FirstParagraph"/>
      </w:pPr>
      <w:r>
        <w:t xml:space="preserve">which is the same as</w:t>
      </w:r>
    </w:p>
    <w:p>
      <w:pPr>
        <w:pStyle w:val="SourceCode"/>
      </w:pP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'#FFC0CB'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</w:t>
      </w:r>
    </w:p>
    <w:bookmarkEnd w:id="64"/>
    <w:bookmarkStart w:id="73" w:name="plotting-genes-with-list-comprehensions"/>
    <w:p>
      <w:pPr>
        <w:pStyle w:val="Heading2"/>
      </w:pPr>
      <w:r>
        <w:t xml:space="preserve">4.3 Plotting genes with list comprehensions</w:t>
      </w:r>
    </w:p>
    <w:p>
      <w:pPr>
        <w:pStyle w:val="FirstParagraph"/>
      </w:pPr>
      <w:r>
        <w:t xml:space="preserve">We can plot similar genes or targets with the same color. For example, the</w:t>
      </w:r>
      <w:r>
        <w:t xml:space="preserve"> </w:t>
      </w:r>
      <w:r>
        <w:t xml:space="preserve">code that generated</w:t>
      </w:r>
      <w:r>
        <w:t xml:space="preserve"> </w:t>
      </w:r>
      <w:hyperlink w:anchor="fig-negatives">
        <w:r>
          <w:rPr>
            <w:rStyle w:val="Hyperlink"/>
          </w:rPr>
          <w:t xml:space="preserve">Figure 8</w:t>
        </w:r>
      </w:hyperlink>
      <w:r>
        <w:t xml:space="preserve"> </w:t>
      </w:r>
      <w:r>
        <w:t xml:space="preserve">is here.</w:t>
      </w:r>
    </w:p>
    <w:p>
      <w:pPr>
        <w:pStyle w:val="SourceCode"/>
      </w:pP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0.6346878790298397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54.95271110236874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2113.6387223301786</w:t>
      </w:r>
      <w:r>
        <w:br/>
      </w:r>
      <w:r>
        <w:br/>
      </w:r>
      <w:r>
        <w:rPr>
          <w:rStyle w:val="NormalTok"/>
        </w:rPr>
        <w:t xml:space="preserve">df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gem.targets</w:t>
      </w:r>
      <w:r>
        <w:br/>
      </w:r>
      <w:r>
        <w:rPr>
          <w:rStyle w:val="NormalTok"/>
        </w:rPr>
        <w:t xml:space="preserve">filtered_df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df[</w:t>
      </w:r>
      <w:r>
        <w:rPr>
          <w:rStyle w:val="FunctionTok"/>
        </w:rPr>
        <w:t xml:space="preserve">df.target.str.contains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"NegPrb"</w:t>
      </w:r>
      <w:r>
        <w:rPr>
          <w:rStyle w:val="NormalTok"/>
        </w:rPr>
        <w:t xml:space="preserve">)]</w:t>
      </w:r>
      <w:r>
        <w:br/>
      </w:r>
      <w:r>
        <w:br/>
      </w:r>
      <w:r>
        <w:rPr>
          <w:rStyle w:val="NormalTok"/>
        </w:rPr>
        <w:t xml:space="preserve">pandas_df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filtered_df.to_pandas_df</w:t>
      </w:r>
      <w:r>
        <w:rPr>
          <w:rStyle w:val="NormalTok"/>
        </w:rPr>
        <w:t xml:space="preserve">()</w:t>
      </w:r>
      <w:r>
        <w:br/>
      </w:r>
      <w:r>
        <w:rPr>
          <w:rStyle w:val="NormalTok"/>
        </w:rPr>
        <w:t xml:space="preserve">negatives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pandas_df.target.unique</w:t>
      </w:r>
      <w:r>
        <w:rPr>
          <w:rStyle w:val="NormalTok"/>
        </w:rPr>
        <w:t xml:space="preserve">()</w:t>
      </w:r>
      <w:r>
        <w:rPr>
          <w:rStyle w:val="FunctionTok"/>
        </w:rPr>
        <w:t xml:space="preserve">.tolist</w:t>
      </w:r>
      <w:r>
        <w:rPr>
          <w:rStyle w:val="NormalTok"/>
        </w:rPr>
        <w:t xml:space="preserve">()</w:t>
      </w:r>
      <w:r>
        <w:br/>
      </w:r>
      <w:r>
        <w:rPr>
          <w:rStyle w:val="NormalTok"/>
        </w:rPr>
        <w:t xml:space="preserve">[</w:t>
      </w: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x,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"white"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x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negatives];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"/fig-negatives.png"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68" w:name="fig-negatives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66" name="Picture"/>
                  <a:graphic>
                    <a:graphicData uri="http://schemas.openxmlformats.org/drawingml/2006/picture">
                      <pic:pic>
                        <pic:nvPicPr>
                          <pic:cNvPr descr="./figures/fig-negatives.png" id="67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8: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but with negatives shown in white.</w:t>
            </w:r>
          </w:p>
          <w:bookmarkEnd w:id="68"/>
        </w:tc>
      </w:tr>
    </w:tbl>
    <w:p>
      <w:pPr>
        <w:pStyle w:val="BodyText"/>
      </w:pPr>
      <w:r>
        <w:t xml:space="preserve">We can also supply of list of tuples where each tuple is a target</w:t>
      </w:r>
      <w:r>
        <w:t xml:space="preserve"> </w:t>
      </w:r>
      <w:r>
        <w:t xml:space="preserve">and a color.</w:t>
      </w:r>
    </w:p>
    <w:p>
      <w:pPr>
        <w:pStyle w:val="SourceCode"/>
      </w:pPr>
      <w:r>
        <w:rPr>
          <w:rStyle w:val="NormalTok"/>
        </w:rPr>
        <w:t xml:space="preserve">genes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[(</w:t>
      </w:r>
      <w:r>
        <w:rPr>
          <w:rStyle w:val="StringTok"/>
        </w:rPr>
        <w:t xml:space="preserve">'Npy'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"magenta"</w:t>
      </w:r>
      <w:r>
        <w:rPr>
          <w:rStyle w:val="NormalTok"/>
        </w:rPr>
        <w:t xml:space="preserve">), (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"white"</w:t>
      </w:r>
      <w:r>
        <w:rPr>
          <w:rStyle w:val="NormalTok"/>
        </w:rPr>
        <w:t xml:space="preserve">)]</w:t>
      </w:r>
      <w:r>
        <w:br/>
      </w:r>
      <w:r>
        <w:rPr>
          <w:rStyle w:val="NormalTok"/>
        </w:rPr>
        <w:t xml:space="preserve">[</w:t>
      </w: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x[</w:t>
      </w:r>
      <w:r>
        <w:rPr>
          <w:rStyle w:val="DecValTok"/>
        </w:rPr>
        <w:t xml:space="preserve">0</w:t>
      </w:r>
      <w:r>
        <w:rPr>
          <w:rStyle w:val="NormalTok"/>
        </w:rPr>
        <w:t xml:space="preserve">],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x[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x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genes];</w:t>
      </w:r>
      <w:r>
        <w:br/>
      </w:r>
      <w:r>
        <w:br/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x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negatives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gem.viewer.layers[x].visible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) </w:t>
      </w:r>
      <w:r>
        <w:rPr>
          <w:rStyle w:val="CommentTok"/>
        </w:rPr>
        <w:t xml:space="preserve"># reset to filled contours</w:t>
      </w:r>
      <w:r>
        <w:br/>
      </w:r>
      <w:r>
        <w:rPr>
          <w:rStyle w:val="NormalTok"/>
        </w:rPr>
        <w:t xml:space="preserve">cell_type_layer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cell_type_layer.opacity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0.9</w:t>
      </w:r>
      <w:r>
        <w:br/>
      </w:r>
      <w:r>
        <w:rPr>
          <w:rStyle w:val="NormalTok"/>
        </w:rPr>
        <w:t xml:space="preserve">cell_type_layer.visible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0.026937869510583412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59.20560304046731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3820.667999302201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0.6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"/fig-crowded-tx.png"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72" w:name="fig-crowded-tx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70" name="Picture"/>
                  <a:graphic>
                    <a:graphicData uri="http://schemas.openxmlformats.org/drawingml/2006/picture">
                      <pic:pic>
                        <pic:nvPicPr>
                          <pic:cNvPr descr="./figures/fig-crowded-tx.png" id="7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9: Cortical layer with</w:t>
            </w:r>
            <w:r>
              <w:t xml:space="preserve"> </w:t>
            </w:r>
            <w:r>
              <w:rPr>
                <w:i/>
                <w:iCs/>
              </w:rPr>
              <w:t xml:space="preserve">Npy</w:t>
            </w:r>
            <w:r>
              <w:t xml:space="preserve"> </w:t>
            </w:r>
            <w:r>
              <w:t xml:space="preserve">(magenta) and</w:t>
            </w:r>
            <w:r>
              <w:t xml:space="preserve"> </w:t>
            </w:r>
            <w:r>
              <w:rPr>
                <w:i/>
                <w:iCs/>
              </w:rPr>
              <w:t xml:space="preserve">Calb1</w:t>
            </w:r>
            <w:r>
              <w:t xml:space="preserve"> </w:t>
            </w:r>
            <w:r>
              <w:t xml:space="preserve">(white).</w:t>
            </w:r>
          </w:p>
          <w:bookmarkEnd w:id="72"/>
        </w:tc>
      </w:tr>
    </w:tbl>
    <w:bookmarkEnd w:id="73"/>
    <w:bookmarkStart w:id="78" w:name="changing-transcript-transparency"/>
    <w:p>
      <w:pPr>
        <w:pStyle w:val="Heading2"/>
      </w:pPr>
      <w:r>
        <w:t xml:space="preserve">4.4 Changing transcript transparency</w:t>
      </w:r>
    </w:p>
    <w:p>
      <w:pPr>
        <w:pStyle w:val="FirstParagraph"/>
      </w:pPr>
      <w:r>
        <w:t xml:space="preserve">Sometimes transcripts can be stacked on top of each other to the point that</w:t>
      </w:r>
      <w:r>
        <w:t xml:space="preserve"> </w:t>
      </w:r>
      <w:r>
        <w:t xml:space="preserve">it’s difficult to qualitatively determine the number of transcripts.</w:t>
      </w:r>
      <w:r>
        <w:t xml:space="preserve"> </w:t>
      </w:r>
      <w:r>
        <w:t xml:space="preserve">Adjusting the transcript opacity of the layer</w:t>
      </w:r>
      <w:r>
        <w:t xml:space="preserve"> </w:t>
      </w:r>
      <w:r>
        <w:t xml:space="preserve">in the GUI only changes the transparency of a single point.</w:t>
      </w:r>
      <w:r>
        <w:t xml:space="preserve"> </w:t>
      </w:r>
      <w:r>
        <w:t xml:space="preserve">But it’s possible to change all points using the</w:t>
      </w:r>
      <w:r>
        <w:t xml:space="preserve"> </w:t>
      </w:r>
      <w:r>
        <w:rPr>
          <w:rStyle w:val="VerbatimChar"/>
        </w:rPr>
        <w:t xml:space="preserve">ipython</w:t>
      </w:r>
      <w:r>
        <w:t xml:space="preserve"> </w:t>
      </w:r>
      <w:r>
        <w:t xml:space="preserve">interpreter.</w:t>
      </w:r>
    </w:p>
    <w:p>
      <w:pPr>
        <w:pStyle w:val="SourceCode"/>
      </w:pP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'Npy'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0.5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"/fig-tx-opacity.png"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77" w:name="fig-tx-opacity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75" name="Picture"/>
                  <a:graphic>
                    <a:graphicData uri="http://schemas.openxmlformats.org/drawingml/2006/picture">
                      <pic:pic>
                        <pic:nvPicPr>
                          <pic:cNvPr descr="./figures/fig-tx-opacity.png" id="7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10: Same extent as</w:t>
            </w:r>
            <w:r>
              <w:t xml:space="preserve"> </w:t>
            </w:r>
            <w:hyperlink w:anchor="fig-crowded-tx">
              <w:r>
                <w:rPr>
                  <w:rStyle w:val="Hyperlink"/>
                </w:rPr>
                <w:t xml:space="preserve">Figure 9</w:t>
              </w:r>
            </w:hyperlink>
            <w:r>
              <w:t xml:space="preserve"> </w:t>
            </w:r>
            <w:r>
              <w:t xml:space="preserve">but opacity of</w:t>
            </w:r>
            <w:r>
              <w:t xml:space="preserve"> </w:t>
            </w:r>
            <w:r>
              <w:rPr>
                <w:i/>
                <w:iCs/>
              </w:rPr>
              <w:t xml:space="preserve">Npy</w:t>
            </w:r>
            <w:r>
              <w:t xml:space="preserve"> </w:t>
            </w:r>
            <w:r>
              <w:t xml:space="preserve">reduced from 1 to 0.5.</w:t>
            </w:r>
          </w:p>
          <w:bookmarkEnd w:id="77"/>
        </w:tc>
      </w:tr>
    </w:tbl>
    <w:bookmarkEnd w:id="78"/>
    <w:bookmarkStart w:id="83" w:name="center-to-a-particular-fov"/>
    <w:p>
      <w:pPr>
        <w:pStyle w:val="Heading2"/>
      </w:pPr>
      <w:r>
        <w:t xml:space="preserve">4.5 Center to a particular FOV</w:t>
      </w:r>
    </w:p>
    <w:p>
      <w:pPr>
        <w:pStyle w:val="FirstParagraph"/>
      </w:pPr>
      <w:r>
        <w:t xml:space="preserve">While zooming (</w:t>
      </w:r>
      <w:r>
        <w:rPr>
          <w:rStyle w:val="VerbatimChar"/>
        </w:rPr>
        <w:t xml:space="preserve">gem.viewer.camera.zoom</w:t>
      </w:r>
      <w:r>
        <w:t xml:space="preserve">) and panning (</w:t>
      </w:r>
      <w:r>
        <w:rPr>
          <w:rStyle w:val="VerbatimChar"/>
        </w:rPr>
        <w:t xml:space="preserve">gem.viewer.camera.center</w:t>
      </w:r>
      <w:r>
        <w:t xml:space="preserve">)</w:t>
      </w:r>
      <w:r>
        <w:t xml:space="preserve"> </w:t>
      </w:r>
      <w:r>
        <w:t xml:space="preserve">can control the exact location of the camera, you can programmatically go to a</w:t>
      </w:r>
      <w:r>
        <w:t xml:space="preserve"> </w:t>
      </w:r>
      <w:r>
        <w:t xml:space="preserve">particular fov with the</w:t>
      </w:r>
      <w:r>
        <w:t xml:space="preserve"> </w:t>
      </w:r>
      <w:r>
        <w:rPr>
          <w:rStyle w:val="VerbatimChar"/>
        </w:rPr>
        <w:t xml:space="preserve">center_fov</w:t>
      </w:r>
      <w:r>
        <w:t xml:space="preserve"> </w:t>
      </w:r>
      <w:r>
        <w:t xml:space="preserve">method.</w:t>
      </w:r>
    </w:p>
    <w:p>
      <w:pPr>
        <w:pStyle w:val="SourceCode"/>
      </w:pPr>
      <w:r>
        <w:rPr>
          <w:rStyle w:val="CommentTok"/>
        </w:rPr>
        <w:t xml:space="preserve"># center to fov 123 and zoom in a little (i.e., buffer &gt; 1).</w:t>
      </w:r>
      <w:r>
        <w:br/>
      </w:r>
      <w:r>
        <w:rPr>
          <w:rStyle w:val="FunctionTok"/>
        </w:rPr>
        <w:t xml:space="preserve">gem.center_fov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fov=</w:t>
      </w:r>
      <w:r>
        <w:rPr>
          <w:rStyle w:val="DecValTok"/>
        </w:rPr>
        <w:t xml:space="preserve">123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buffer=</w:t>
      </w:r>
      <w:r>
        <w:rPr>
          <w:rStyle w:val="FloatTok"/>
        </w:rPr>
        <w:t xml:space="preserve">1.2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"/fig-center-to-fov.png"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82" w:name="fig-center-to-fov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80" name="Picture"/>
                  <a:graphic>
                    <a:graphicData uri="http://schemas.openxmlformats.org/drawingml/2006/picture">
                      <pic:pic>
                        <pic:nvPicPr>
                          <pic:cNvPr descr="./figures/fig-center-to-fov.png" id="8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11: Centering to a particular FOV (123) using the</w:t>
            </w:r>
            <w:r>
              <w:t xml:space="preserve"> </w:t>
            </w:r>
            <w:r>
              <w:rPr>
                <w:rStyle w:val="VerbatimChar"/>
              </w:rPr>
              <w:t xml:space="preserve">center_fov</w:t>
            </w:r>
            <w:r>
              <w:t xml:space="preserve"> </w:t>
            </w:r>
            <w:r>
              <w:t xml:space="preserve">method.</w:t>
            </w:r>
          </w:p>
          <w:bookmarkEnd w:id="82"/>
        </w:tc>
      </w:tr>
    </w:tbl>
    <w:bookmarkEnd w:id="83"/>
    <w:bookmarkStart w:id="88" w:name="plot-all-transcripts"/>
    <w:p>
      <w:pPr>
        <w:pStyle w:val="Heading2"/>
      </w:pPr>
      <w:r>
        <w:t xml:space="preserve">4.6 Plot all transcripts</w:t>
      </w:r>
    </w:p>
    <w:p>
      <w:pPr>
        <w:pStyle w:val="FirstParagraph"/>
      </w:pPr>
      <w:r>
        <w:t xml:space="preserve">This is not advised for resource-limited systems as it plots</w:t>
      </w:r>
      <w:r>
        <w:t xml:space="preserve"> </w:t>
      </w:r>
      <w:r>
        <w:rPr>
          <w:i/>
          <w:iCs/>
        </w:rPr>
        <w:t xml:space="preserve">all</w:t>
      </w:r>
      <w:r>
        <w:t xml:space="preserve"> </w:t>
      </w:r>
      <w:r>
        <w:t xml:space="preserve">transcripts.</w:t>
      </w:r>
      <w:r>
        <w:t xml:space="preserve"> </w:t>
      </w:r>
      <w:r>
        <w:t xml:space="preserve">The method</w:t>
      </w:r>
      <w:r>
        <w:t xml:space="preserve"> </w:t>
      </w:r>
      <w:r>
        <w:rPr>
          <w:rStyle w:val="VerbatimChar"/>
        </w:rPr>
        <w:t xml:space="preserve">add_points</w:t>
      </w:r>
      <w:r>
        <w:t xml:space="preserve"> </w:t>
      </w:r>
      <w:r>
        <w:t xml:space="preserve">plots all the points for a given FOV. If no FOV is</w:t>
      </w:r>
      <w:r>
        <w:t xml:space="preserve"> </w:t>
      </w:r>
      <w:r>
        <w:t xml:space="preserve">specified, it will plot all transcripts (this can be taxing on resource-limited</w:t>
      </w:r>
      <w:r>
        <w:t xml:space="preserve"> </w:t>
      </w:r>
      <w:r>
        <w:t xml:space="preserve">computers).</w:t>
      </w:r>
    </w:p>
    <w:p>
      <w:pPr>
        <w:pStyle w:val="SourceCode"/>
      </w:pPr>
      <w:r>
        <w:rPr>
          <w:rStyle w:val="FunctionTok"/>
        </w:rPr>
        <w:t xml:space="preserve">gem.add_points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fov=</w:t>
      </w:r>
      <w:r>
        <w:rPr>
          <w:rStyle w:val="DecValTok"/>
        </w:rPr>
        <w:t xml:space="preserve">123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'Targets'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0.4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"/fig-tx-all.png"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87" w:name="fig-tx-all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85" name="Picture"/>
                  <a:graphic>
                    <a:graphicData uri="http://schemas.openxmlformats.org/drawingml/2006/picture">
                      <pic:pic>
                        <pic:nvPicPr>
                          <pic:cNvPr descr="./figures/fig-tx-all.png" id="8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12: All targets for FOV 123.</w:t>
            </w:r>
          </w:p>
          <w:bookmarkEnd w:id="87"/>
        </w:tc>
      </w:tr>
    </w:tbl>
    <w:bookmarkEnd w:id="88"/>
    <w:bookmarkStart w:id="93" w:name="changing-background-color"/>
    <w:p>
      <w:pPr>
        <w:pStyle w:val="Heading2"/>
      </w:pPr>
      <w:r>
        <w:t xml:space="preserve">4.7 Changing background color</w:t>
      </w:r>
    </w:p>
    <w:p>
      <w:pPr>
        <w:pStyle w:val="FirstParagraph"/>
      </w:pPr>
      <w:r>
        <w:t xml:space="preserve">For some publication styles (</w:t>
      </w:r>
      <w:r>
        <w:rPr>
          <w:i/>
          <w:iCs/>
        </w:rPr>
        <w:t xml:space="preserve">e.g.</w:t>
      </w:r>
      <w:r>
        <w:t xml:space="preserve">, posters), turning the background a lighter</w:t>
      </w:r>
      <w:r>
        <w:t xml:space="preserve"> </w:t>
      </w:r>
      <w:r>
        <w:t xml:space="preserve">color might be useful. However, when changing the background, some items might be</w:t>
      </w:r>
      <w:r>
        <w:t xml:space="preserve"> </w:t>
      </w:r>
      <w:r>
        <w:t xml:space="preserve">more difficult to see (compare</w:t>
      </w:r>
      <w:r>
        <w:t xml:space="preserve"> </w:t>
      </w:r>
      <w:hyperlink w:anchor="fig-contours">
        <w:r>
          <w:rPr>
            <w:rStyle w:val="Hyperlink"/>
          </w:rPr>
          <w:t xml:space="preserve">Figure 7</w:t>
        </w:r>
      </w:hyperlink>
      <w:r>
        <w:t xml:space="preserve"> </w:t>
      </w:r>
      <w:r>
        <w:t xml:space="preserve">with</w:t>
      </w:r>
      <w:r>
        <w:t xml:space="preserve"> </w:t>
      </w:r>
      <w:hyperlink w:anchor="fig-white">
        <w:r>
          <w:rPr>
            <w:rStyle w:val="Hyperlink"/>
          </w:rPr>
          <w:t xml:space="preserve">Figure 13</w:t>
        </w:r>
      </w:hyperlink>
      <w:r>
        <w:t xml:space="preserve">).</w:t>
      </w:r>
    </w:p>
    <w:p>
      <w:pPr>
        <w:pStyle w:val="SourceCode"/>
      </w:pPr>
      <w:r>
        <w:rPr>
          <w:rStyle w:val="NormalTok"/>
        </w:rPr>
        <w:t xml:space="preserve">gem.viewer.window.qt_viewer.canvas.background_color_override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'white'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"/fig-white.png"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92" w:name="fig-white"/>
          <w:p>
            <w:pPr>
              <w:pStyle w:val="Compact"/>
              <w:jc w:val="center"/>
            </w:pPr>
            <w:r>
              <w:drawing>
                <wp:inline>
                  <wp:extent cx="1183341" cy="970477"/>
                  <wp:effectExtent b="0" l="0" r="0" t="0"/>
                  <wp:docPr descr="" title="" id="90" name="Picture"/>
                  <a:graphic>
                    <a:graphicData uri="http://schemas.openxmlformats.org/drawingml/2006/picture">
                      <pic:pic>
                        <pic:nvPicPr>
                          <pic:cNvPr descr="./figures/fig-white.png" id="9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97047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13: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but with a white background.</w:t>
            </w:r>
          </w:p>
          <w:bookmarkEnd w:id="92"/>
        </w:tc>
      </w:tr>
    </w:tbl>
    <w:bookmarkEnd w:id="93"/>
    <w:bookmarkStart w:id="98" w:name="scale-bar-location"/>
    <w:p>
      <w:pPr>
        <w:pStyle w:val="Heading2"/>
      </w:pPr>
      <w:r>
        <w:t xml:space="preserve">4.8 Scale Bar location</w:t>
      </w:r>
    </w:p>
    <w:p>
      <w:pPr>
        <w:pStyle w:val="FirstParagraph"/>
      </w:pPr>
      <w:r>
        <w:t xml:space="preserve">To reposition the scale bar to the bottom left:</w:t>
      </w:r>
    </w:p>
    <w:p>
      <w:pPr>
        <w:pStyle w:val="SourceCode"/>
      </w:pPr>
      <w:r>
        <w:rPr>
          <w:rStyle w:val="NormalTok"/>
        </w:rPr>
        <w:t xml:space="preserve">gem.viewer.window.qt_viewer.canvas.background_color_override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'black'</w:t>
      </w:r>
      <w:r>
        <w:br/>
      </w:r>
      <w:r>
        <w:rPr>
          <w:rStyle w:val="NormalTok"/>
        </w:rPr>
        <w:t xml:space="preserve">gem.viewer.scale_bar.position</w:t>
      </w:r>
      <w:r>
        <w:rPr>
          <w:rStyle w:val="OtherTok"/>
        </w:rPr>
        <w:t xml:space="preserve">=</w:t>
      </w:r>
      <w:r>
        <w:rPr>
          <w:rStyle w:val="StringTok"/>
        </w:rPr>
        <w:t xml:space="preserve">'bottom_left'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"/fig-scale_bl.png"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97" w:name="fig-scale_bl"/>
          <w:p>
            <w:pPr>
              <w:pStyle w:val="Compact"/>
              <w:jc w:val="center"/>
            </w:pPr>
            <w:r>
              <w:drawing>
                <wp:inline>
                  <wp:extent cx="1183341" cy="1013965"/>
                  <wp:effectExtent b="0" l="0" r="0" t="0"/>
                  <wp:docPr descr="" title="" id="95" name="Picture"/>
                  <a:graphic>
                    <a:graphicData uri="http://schemas.openxmlformats.org/drawingml/2006/picture">
                      <pic:pic>
                        <pic:nvPicPr>
                          <pic:cNvPr descr="./figures/fig-scale_bl.png" id="9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10139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14: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but with a scale bar moved to the bottom left.</w:t>
            </w:r>
          </w:p>
          <w:bookmarkEnd w:id="97"/>
        </w:tc>
      </w:tr>
    </w:tbl>
    <w:bookmarkEnd w:id="98"/>
    <w:bookmarkStart w:id="103" w:name="specify-individual-cell-types"/>
    <w:p>
      <w:pPr>
        <w:pStyle w:val="Heading2"/>
      </w:pPr>
      <w:r>
        <w:t xml:space="preserve">4.9 Specify individual cell types</w:t>
      </w:r>
    </w:p>
    <w:p>
      <w:pPr>
        <w:pStyle w:val="FirstParagraph"/>
      </w:pPr>
      <w:r>
        <w:t xml:space="preserve">Here’s my last tip for this post. Using the</w:t>
      </w:r>
      <w:r>
        <w:t xml:space="preserve"> </w:t>
      </w:r>
      <w:r>
        <w:rPr>
          <w:rStyle w:val="VerbatimChar"/>
        </w:rPr>
        <w:t xml:space="preserve">color_cells</w:t>
      </w:r>
      <w:r>
        <w:t xml:space="preserve"> </w:t>
      </w:r>
      <w:r>
        <w:t xml:space="preserve">method, one can choose the color of the cell types and which cells to color by supplying</w:t>
      </w:r>
      <w:r>
        <w:t xml:space="preserve"> </w:t>
      </w:r>
      <w:r>
        <w:t xml:space="preserve">a dictionary. If a cell type is</w:t>
      </w:r>
      <w:r>
        <w:t xml:space="preserve"> </w:t>
      </w:r>
      <w:r>
        <w:rPr>
          <w:i/>
          <w:iCs/>
        </w:rPr>
        <w:t xml:space="preserve">not</w:t>
      </w:r>
      <w:r>
        <w:t xml:space="preserve"> </w:t>
      </w:r>
      <w:r>
        <w:t xml:space="preserve">in the supplied dictionary, it will not be shown as a color.</w:t>
      </w:r>
    </w:p>
    <w:p>
      <w:pPr>
        <w:pStyle w:val="SourceCode"/>
      </w:pPr>
      <w:r>
        <w:rPr>
          <w:rStyle w:val="NormalTok"/>
        </w:rPr>
        <w:t xml:space="preserve">custom_colors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{</w:t>
      </w:r>
      <w:r>
        <w:br/>
      </w:r>
      <w:r>
        <w:rPr>
          <w:rStyle w:val="StringTok"/>
        </w:rPr>
        <w:t xml:space="preserve">"MOL"</w:t>
      </w:r>
      <w:r>
        <w:rPr>
          <w:rStyle w:val="SpecialCharTok"/>
        </w:rPr>
        <w:t xml:space="preserve">:</w:t>
      </w:r>
      <w:r>
        <w:rPr>
          <w:rStyle w:val="StringTok"/>
        </w:rPr>
        <w:t xml:space="preserve">"#AA0DFE"</w:t>
      </w:r>
      <w:r>
        <w:rPr>
          <w:rStyle w:val="NormalTok"/>
        </w:rPr>
        <w:t xml:space="preserve">,</w:t>
      </w:r>
      <w:r>
        <w:br/>
      </w:r>
      <w:r>
        <w:rPr>
          <w:rStyle w:val="StringTok"/>
        </w:rPr>
        <w:t xml:space="preserve">"GN"</w:t>
      </w:r>
      <w:r>
        <w:rPr>
          <w:rStyle w:val="SpecialCharTok"/>
        </w:rPr>
        <w:t xml:space="preserve">:</w:t>
      </w:r>
      <w:r>
        <w:rPr>
          <w:rStyle w:val="StringTok"/>
        </w:rPr>
        <w:t xml:space="preserve">"#85660D"</w:t>
      </w:r>
      <w:r>
        <w:rPr>
          <w:rStyle w:val="NormalTok"/>
        </w:rPr>
        <w:t xml:space="preserve">,</w:t>
      </w:r>
      <w:r>
        <w:br/>
      </w:r>
      <w:r>
        <w:rPr>
          <w:rStyle w:val="StringTok"/>
        </w:rPr>
        <w:t xml:space="preserve">"CHO_HB"</w:t>
      </w:r>
      <w:r>
        <w:rPr>
          <w:rStyle w:val="SpecialCharTok"/>
        </w:rPr>
        <w:t xml:space="preserve">:</w:t>
      </w:r>
      <w:r>
        <w:rPr>
          <w:rStyle w:val="StringTok"/>
        </w:rPr>
        <w:t xml:space="preserve">"orange"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# need not be hexcode</w:t>
      </w:r>
      <w:r>
        <w:br/>
      </w:r>
      <w:r>
        <w:rPr>
          <w:rStyle w:val="NormalTok"/>
        </w:rPr>
        <w:t xml:space="preserve">}</w:t>
      </w:r>
      <w:r>
        <w:br/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color=</w:t>
      </w:r>
      <w:r>
        <w:rPr>
          <w:rStyle w:val="NormalTok"/>
        </w:rPr>
        <w:t xml:space="preserve">custom_colors)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"/fig-color_three.png"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02" w:name="fig-color_three"/>
          <w:p>
            <w:pPr>
              <w:pStyle w:val="Compact"/>
              <w:jc w:val="center"/>
            </w:pPr>
            <w:r>
              <w:drawing>
                <wp:inline>
                  <wp:extent cx="1183341" cy="1013965"/>
                  <wp:effectExtent b="0" l="0" r="0" t="0"/>
                  <wp:docPr descr="" title="" id="100" name="Picture"/>
                  <a:graphic>
                    <a:graphicData uri="http://schemas.openxmlformats.org/drawingml/2006/picture">
                      <pic:pic>
                        <pic:nvPicPr>
                          <pic:cNvPr descr="./figures/fig-color_three.png" id="10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10139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15: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highlighting three cell types only. MOL = mature oligodenrocytes = purple; GN = granule neurons = brown; CHO_HB = Cholinergic neurons Habenula = orange; cyan = all other cells.</w:t>
            </w:r>
          </w:p>
          <w:bookmarkEnd w:id="102"/>
        </w:tc>
      </w:tr>
    </w:tbl>
    <w:bookmarkEnd w:id="103"/>
    <w:bookmarkEnd w:id="104"/>
    <w:bookmarkStart w:id="105" w:name="conclusion"/>
    <w:p>
      <w:pPr>
        <w:pStyle w:val="Heading1"/>
      </w:pPr>
      <w:r>
        <w:t xml:space="preserve">5. Conclusion</w:t>
      </w:r>
    </w:p>
    <w:p>
      <w:pPr>
        <w:pStyle w:val="FirstParagraph"/>
      </w:pPr>
      <w:r>
        <w:t xml:space="preserve">In this post I showed you some of my go-to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 features that I</w:t>
      </w:r>
      <w:r>
        <w:t xml:space="preserve"> </w:t>
      </w:r>
      <w:r>
        <w:t xml:space="preserve">use when analyzing SMI data. In my workflow, I take advantage of the plugin’s</w:t>
      </w:r>
      <w:r>
        <w:t xml:space="preserve"> </w:t>
      </w:r>
      <w:r>
        <w:t xml:space="preserve">interactivity as well as its underlying functions and methods. This comes in the form</w:t>
      </w:r>
      <w:r>
        <w:t xml:space="preserve"> </w:t>
      </w:r>
      <w:r>
        <w:t xml:space="preserve">of</w:t>
      </w:r>
      <w:r>
        <w:t xml:space="preserve"> </w:t>
      </w:r>
      <w:r>
        <w:t xml:space="preserve">“jotting down”</w:t>
      </w:r>
      <w:r>
        <w:t xml:space="preserve"> </w:t>
      </w:r>
      <w:r>
        <w:t xml:space="preserve">settings for reproducibility or fine-tuning an image’s aesthetics</w:t>
      </w:r>
      <w:r>
        <w:t xml:space="preserve"> </w:t>
      </w:r>
      <w:r>
        <w:t xml:space="preserve">ahead of publication. I couldn’t cover all the things this plugin can do but look</w:t>
      </w:r>
      <w:r>
        <w:t xml:space="preserve"> </w:t>
      </w:r>
      <w:r>
        <w:t xml:space="preserve">for other tips in future posts.</w:t>
      </w:r>
    </w:p>
    <w:bookmarkEnd w:id="105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1">
    <w:nsid w:val="0000A991"/>
    <w:multiLevelType w:val="multilevel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line="240" w:lineRule="auto"/>
      <w:contextualSpacing/>
      <w:jc w:val="center"/>
    </w:pPr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A10FD9"/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>
      <w:numPr>
        <w:ilvl w:val="1"/>
      </w:numPr>
    </w:pPr>
    <w:rPr>
      <w:rFonts w:cstheme="majorBidi" w:eastAsiaTheme="majorEastAsia"/>
      <w:spacing w:val="15"/>
      <w:sz w:val="28"/>
      <w:szCs w:val="28"/>
    </w:rPr>
  </w:style>
  <w:style w:customStyle="1" w:styleId="SubtitleChar" w:type="character">
    <w:name w:val="Subtitle Char"/>
    <w:basedOn w:val="DefaultParagraphFont"/>
    <w:link w:val="Subtitle"/>
    <w:uiPriority w:val="11"/>
    <w:rsid w:val="00A10FD9"/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/>
      <w:keepLines/>
      <w:spacing w:after="80" w:before="360"/>
      <w:outlineLvl w:val="0"/>
    </w:pPr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/>
      <w:keepLines/>
      <w:spacing w:after="80" w:before="160"/>
      <w:outlineLvl w:val="1"/>
    </w:pPr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/>
      <w:keepLines/>
      <w:spacing w:after="80" w:before="160"/>
      <w:outlineLvl w:val="2"/>
    </w:pPr>
    <w:rPr>
      <w:rFonts w:cstheme="majorBidi" w:eastAsiaTheme="majorEastAsia"/>
      <w:color w:themeColor="accent1" w:themeShade="BF" w:val="0F4761"/>
      <w:sz w:val="28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/>
      <w:keepLines/>
      <w:spacing w:after="40" w:before="80"/>
      <w:outlineLvl w:val="3"/>
    </w:pPr>
    <w:rPr>
      <w:rFonts w:cstheme="majorBidi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/>
      <w:keepLines/>
      <w:spacing w:after="40" w:before="80"/>
      <w:outlineLvl w:val="4"/>
    </w:pPr>
    <w:rPr>
      <w:rFonts w:cstheme="majorBidi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/>
      <w:keepLines/>
      <w:spacing w:after="0" w:before="40"/>
      <w:outlineLvl w:val="5"/>
    </w:pPr>
    <w:rPr>
      <w:rFonts w:cstheme="majorBidi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/>
      <w:keepLines/>
      <w:spacing w:after="0" w:before="40"/>
      <w:outlineLvl w:val="6"/>
    </w:pPr>
    <w:rPr>
      <w:rFonts w:cstheme="majorBidi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cstheme="majorBidi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cstheme="majorBidi" w:eastAsiaTheme="majorEastAsia"/>
      <w:color w:themeColor="text1" w:themeTint="D8" w:val="272727"/>
    </w:rPr>
  </w:style>
  <w:style w:customStyle="1" w:styleId="Heading1Char" w:type="character">
    <w:name w:val="Heading 1 Char"/>
    <w:basedOn w:val="DefaultParagraphFont"/>
    <w:link w:val="Heading1"/>
    <w:uiPriority w:val="9"/>
    <w:rsid w:val="00A10FD9"/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link w:val="Heading2"/>
    <w:uiPriority w:val="9"/>
    <w:semiHidden/>
    <w:rsid w:val="00A10FD9"/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link w:val="Heading3"/>
    <w:uiPriority w:val="9"/>
    <w:semiHidden/>
    <w:rsid w:val="00A10FD9"/>
    <w:rPr>
      <w:rFonts w:cstheme="majorBidi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link w:val="Heading4"/>
    <w:uiPriority w:val="9"/>
    <w:semiHidden/>
    <w:rsid w:val="00A10FD9"/>
    <w:rPr>
      <w:rFonts w:cstheme="majorBidi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link w:val="Heading5"/>
    <w:uiPriority w:val="9"/>
    <w:semiHidden/>
    <w:rsid w:val="00A10FD9"/>
    <w:rPr>
      <w:rFonts w:cstheme="majorBidi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link w:val="Heading6"/>
    <w:uiPriority w:val="9"/>
    <w:semiHidden/>
    <w:rsid w:val="00A10FD9"/>
    <w:rPr>
      <w:rFonts w:cstheme="majorBidi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link w:val="Heading7"/>
    <w:uiPriority w:val="9"/>
    <w:semiHidden/>
    <w:rsid w:val="00A10FD9"/>
    <w:rPr>
      <w:rFonts w:cstheme="majorBidi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link w:val="Heading8"/>
    <w:uiPriority w:val="9"/>
    <w:semiHidden/>
    <w:rsid w:val="00A10FD9"/>
    <w:rPr>
      <w:rFonts w:cstheme="majorBidi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link w:val="Heading9"/>
    <w:uiPriority w:val="9"/>
    <w:semiHidden/>
    <w:rsid w:val="00A10FD9"/>
    <w:rPr>
      <w:rFonts w:cstheme="majorBidi" w:eastAsiaTheme="majorEastAsia"/>
      <w:color w:themeColor="text1" w:themeTint="D8" w:val="272727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d73a49"/>
    </w:rPr>
  </w:style>
  <w:style w:type="character" w:customStyle="1" w:styleId="DataTypeTok">
    <w:name w:val="DataTypeTok"/>
    <w:basedOn w:val="VerbatimChar"/>
    <w:rPr>
      <w:color w:val="d73a49"/>
    </w:rPr>
  </w:style>
  <w:style w:type="character" w:customStyle="1" w:styleId="DecValTok">
    <w:name w:val="DecValTok"/>
    <w:basedOn w:val="VerbatimChar"/>
    <w:rPr>
      <w:color w:val="005cc5"/>
    </w:rPr>
  </w:style>
  <w:style w:type="character" w:customStyle="1" w:styleId="BaseNTok">
    <w:name w:val="BaseNTok"/>
    <w:basedOn w:val="VerbatimChar"/>
    <w:rPr>
      <w:color w:val="005cc5"/>
    </w:rPr>
  </w:style>
  <w:style w:type="character" w:customStyle="1" w:styleId="FloatTok">
    <w:name w:val="FloatTok"/>
    <w:basedOn w:val="VerbatimChar"/>
    <w:rPr>
      <w:color w:val="005cc5"/>
    </w:rPr>
  </w:style>
  <w:style w:type="character" w:customStyle="1" w:styleId="ConstantTok">
    <w:name w:val="ConstantTok"/>
    <w:basedOn w:val="VerbatimChar"/>
    <w:rPr>
      <w:color w:val="005cc5"/>
    </w:rPr>
  </w:style>
  <w:style w:type="character" w:customStyle="1" w:styleId="CharTok">
    <w:name w:val="CharTok"/>
    <w:basedOn w:val="VerbatimChar"/>
    <w:rPr>
      <w:color w:val="032f62"/>
    </w:rPr>
  </w:style>
  <w:style w:type="character" w:customStyle="1" w:styleId="SpecialCharTok">
    <w:name w:val="SpecialCharTok"/>
    <w:basedOn w:val="VerbatimChar"/>
    <w:rPr>
      <w:color w:val="005cc5"/>
    </w:rPr>
  </w:style>
  <w:style w:type="character" w:customStyle="1" w:styleId="StringTok">
    <w:name w:val="StringTok"/>
    <w:basedOn w:val="VerbatimChar"/>
    <w:rPr>
      <w:color w:val="032f62"/>
    </w:rPr>
  </w:style>
  <w:style w:type="character" w:customStyle="1" w:styleId="VerbatimStringTok">
    <w:name w:val="VerbatimStringTok"/>
    <w:basedOn w:val="VerbatimChar"/>
    <w:rPr>
      <w:color w:val="032f62"/>
    </w:rPr>
  </w:style>
  <w:style w:type="character" w:customStyle="1" w:styleId="SpecialStringTok">
    <w:name w:val="SpecialStringTok"/>
    <w:basedOn w:val="VerbatimChar"/>
    <w:rPr>
      <w:color w:val="032f62"/>
    </w:rPr>
  </w:style>
  <w:style w:type="character" w:customStyle="1" w:styleId="ImportTok">
    <w:name w:val="ImportTok"/>
    <w:basedOn w:val="VerbatimChar"/>
    <w:rPr>
      <w:color w:val="032f62"/>
    </w:rPr>
  </w:style>
  <w:style w:type="character" w:customStyle="1" w:styleId="CommentTok">
    <w:name w:val="CommentTok"/>
    <w:basedOn w:val="VerbatimChar"/>
    <w:rPr>
      <w:color w:val="6a737d"/>
    </w:rPr>
  </w:style>
  <w:style w:type="character" w:customStyle="1" w:styleId="DocumentationTok">
    <w:name w:val="DocumentationTok"/>
    <w:basedOn w:val="VerbatimChar"/>
    <w:rPr>
      <w:color w:val="6a737d"/>
    </w:rPr>
  </w:style>
  <w:style w:type="character" w:customStyle="1" w:styleId="AnnotationTok">
    <w:name w:val="AnnotationTok"/>
    <w:basedOn w:val="VerbatimChar"/>
    <w:rPr>
      <w:color w:val="6a737d"/>
    </w:rPr>
  </w:style>
  <w:style w:type="character" w:customStyle="1" w:styleId="CommentVarTok">
    <w:name w:val="CommentVarTok"/>
    <w:basedOn w:val="VerbatimChar"/>
    <w:rPr>
      <w:color w:val="6a737d"/>
    </w:rPr>
  </w:style>
  <w:style w:type="character" w:customStyle="1" w:styleId="OtherTok">
    <w:name w:val="OtherTok"/>
    <w:basedOn w:val="VerbatimChar"/>
    <w:rPr>
      <w:color w:val="6f42c1"/>
    </w:rPr>
  </w:style>
  <w:style w:type="character" w:customStyle="1" w:styleId="FunctionTok">
    <w:name w:val="FunctionTok"/>
    <w:basedOn w:val="VerbatimChar"/>
    <w:rPr>
      <w:color w:val="6f42c1"/>
    </w:rPr>
  </w:style>
  <w:style w:type="character" w:customStyle="1" w:styleId="VariableTok">
    <w:name w:val="VariableTok"/>
    <w:basedOn w:val="VerbatimChar"/>
    <w:rPr>
      <w:color w:val="e36209"/>
    </w:rPr>
  </w:style>
  <w:style w:type="character" w:customStyle="1" w:styleId="ControlFlowTok">
    <w:name w:val="ControlFlowTok"/>
    <w:basedOn w:val="VerbatimChar"/>
    <w:rPr>
      <w:color w:val="d73a49"/>
    </w:rPr>
  </w:style>
  <w:style w:type="character" w:customStyle="1" w:styleId="OperatorTok">
    <w:name w:val="OperatorTok"/>
    <w:basedOn w:val="VerbatimChar"/>
    <w:rPr>
      <w:color w:val="24292e"/>
    </w:rPr>
  </w:style>
  <w:style w:type="character" w:customStyle="1" w:styleId="BuiltInTok">
    <w:name w:val="BuiltInTok"/>
    <w:basedOn w:val="VerbatimChar"/>
    <w:rPr>
      <w:color w:val="d73a49"/>
    </w:rPr>
  </w:style>
  <w:style w:type="character" w:customStyle="1" w:styleId="ExtensionTok">
    <w:name w:val="ExtensionTok"/>
    <w:basedOn w:val="VerbatimChar"/>
    <w:rPr>
      <w:b/>
      <w:color w:val="d73a49"/>
    </w:rPr>
  </w:style>
  <w:style w:type="character" w:customStyle="1" w:styleId="PreprocessorTok">
    <w:name w:val="PreprocessorTok"/>
    <w:basedOn w:val="VerbatimChar"/>
    <w:rPr>
      <w:color w:val="d73a49"/>
    </w:rPr>
  </w:style>
  <w:style w:type="character" w:customStyle="1" w:styleId="AttributeTok">
    <w:name w:val="AttributeTok"/>
    <w:basedOn w:val="VerbatimChar"/>
    <w:rPr>
      <w:color w:val="d73a49"/>
    </w:rPr>
  </w:style>
  <w:style w:type="character" w:customStyle="1" w:styleId="RegionMarkerTok">
    <w:name w:val="RegionMarkerTok"/>
    <w:basedOn w:val="VerbatimChar"/>
    <w:rPr>
      <w:color w:val="6a737d"/>
    </w:rPr>
  </w:style>
  <w:style w:type="character" w:customStyle="1" w:styleId="InformationTok">
    <w:name w:val="InformationTok"/>
    <w:basedOn w:val="VerbatimChar"/>
    <w:rPr>
      <w:color w:val="6a737d"/>
    </w:rPr>
  </w:style>
  <w:style w:type="character" w:customStyle="1" w:styleId="WarningTok">
    <w:name w:val="WarningTok"/>
    <w:basedOn w:val="VerbatimChar"/>
    <w:rPr>
      <w:color w:val="ff5555"/>
    </w:rPr>
  </w:style>
  <w:style w:type="character" w:customStyle="1" w:styleId="AlertTok">
    <w:name w:val="AlertTok"/>
    <w:basedOn w:val="VerbatimChar"/>
    <w:rPr>
      <w:b/>
      <w:color w:val="ff5555"/>
    </w:rPr>
  </w:style>
  <w:style w:type="character" w:customStyle="1" w:styleId="ErrorTok">
    <w:name w:val="ErrorTok"/>
    <w:basedOn w:val="VerbatimChar"/>
    <w:rPr>
      <w:color w:val="ff5555"/>
      <w:u/>
    </w:rPr>
  </w:style>
  <w:style w:type="character" w:customStyle="1" w:styleId="NormalTok">
    <w:name w:val="NormalTok"/>
    <w:basedOn w:val="VerbatimChar"/>
    <w:rPr>
      <w:color w:val="24292e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50" Target="media/rId50.png" /><Relationship Type="http://schemas.openxmlformats.org/officeDocument/2006/relationships/image" Id="rId42" Target="media/rId42.png" /><Relationship Type="http://schemas.openxmlformats.org/officeDocument/2006/relationships/image" Id="rId79" Target="media/rId79.png" /><Relationship Type="http://schemas.openxmlformats.org/officeDocument/2006/relationships/image" Id="rId99" Target="media/rId99.png" /><Relationship Type="http://schemas.openxmlformats.org/officeDocument/2006/relationships/image" Id="rId59" Target="media/rId59.png" /><Relationship Type="http://schemas.openxmlformats.org/officeDocument/2006/relationships/image" Id="rId69" Target="media/rId69.png" /><Relationship Type="http://schemas.openxmlformats.org/officeDocument/2006/relationships/image" Id="rId20" Target="media/rId20.png" /><Relationship Type="http://schemas.openxmlformats.org/officeDocument/2006/relationships/image" Id="rId38" Target="media/rId38.png" /><Relationship Type="http://schemas.openxmlformats.org/officeDocument/2006/relationships/image" Id="rId65" Target="media/rId65.png" /><Relationship Type="http://schemas.openxmlformats.org/officeDocument/2006/relationships/image" Id="rId46" Target="media/rId46.png" /><Relationship Type="http://schemas.openxmlformats.org/officeDocument/2006/relationships/image" Id="rId94" Target="media/rId94.png" /><Relationship Type="http://schemas.openxmlformats.org/officeDocument/2006/relationships/image" Id="rId54" Target="media/rId54.png" /><Relationship Type="http://schemas.openxmlformats.org/officeDocument/2006/relationships/image" Id="rId84" Target="media/rId84.png" /><Relationship Type="http://schemas.openxmlformats.org/officeDocument/2006/relationships/image" Id="rId74" Target="media/rId74.png" /><Relationship Type="http://schemas.openxmlformats.org/officeDocument/2006/relationships/image" Id="rId89" Target="media/rId89.png" /><Relationship Type="http://schemas.openxmlformats.org/officeDocument/2006/relationships/image" Id="rId25" Target="media/rId25.png" /><Relationship Type="http://schemas.openxmlformats.org/officeDocument/2006/relationships/hyperlink" Id="rId24" Target="../napari-cosmx-intro/index.qmd" TargetMode="External" /><Relationship Type="http://schemas.openxmlformats.org/officeDocument/2006/relationships/hyperlink" Id="rId32" Target="../napari-cosmx-intro/index.qmd#sec-stitch-images" TargetMode="External" /><Relationship Type="http://schemas.openxmlformats.org/officeDocument/2006/relationships/hyperlink" Id="rId113" Target="https://github.com/Yillumination" TargetMode="External" /><Relationship Type="http://schemas.openxmlformats.org/officeDocument/2006/relationships/hyperlink" Id="rId109" Target="https://github.com/crwilliams11" TargetMode="External" /><Relationship Type="http://schemas.openxmlformats.org/officeDocument/2006/relationships/hyperlink" Id="rId111" Target="https://github.com/dan11mcguire" TargetMode="External" /><Relationship Type="http://schemas.openxmlformats.org/officeDocument/2006/relationships/hyperlink" Id="rId108" Target="https://github.com/eveilyeverafter" TargetMode="External" /><Relationship Type="http://schemas.openxmlformats.org/officeDocument/2006/relationships/hyperlink" Id="rId114" Target="https://github.com/fnew" TargetMode="External" /><Relationship Type="http://schemas.openxmlformats.org/officeDocument/2006/relationships/hyperlink" Id="rId107" Target="https://github.com/lidanwu" TargetMode="External" /><Relationship Type="http://schemas.openxmlformats.org/officeDocument/2006/relationships/hyperlink" Id="rId112" Target="https://github.com/mgrout81" TargetMode="External" /><Relationship Type="http://schemas.openxmlformats.org/officeDocument/2006/relationships/hyperlink" Id="rId110" Target="https://github.com/mrvikramkohli" TargetMode="External" /><Relationship Type="http://schemas.openxmlformats.org/officeDocument/2006/relationships/hyperlink" Id="rId106" Target="https://github.com/patrickjdanaher" TargetMode="External" /><Relationship Type="http://schemas.openxmlformats.org/officeDocument/2006/relationships/hyperlink" Id="rId115" Target="https://github.com/skorukonda" TargetMode="External" /><Relationship Type="http://schemas.openxmlformats.org/officeDocument/2006/relationships/hyperlink" Id="rId29" Target="https://nanostring.com/products/cosmx-spatial-molecular-imager/ffpe-dataset/cosmx-smi-mouse-brain-ffpe-dataset/" TargetMode="External" /><Relationship Type="http://schemas.openxmlformats.org/officeDocument/2006/relationships/hyperlink" Id="rId37" Target="https://napari.org/stable/tutorials/fundamentals/viewer.html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24" Target="../napari-cosmx-intro/index.qmd" TargetMode="External" /><Relationship Type="http://schemas.openxmlformats.org/officeDocument/2006/relationships/hyperlink" Id="rId32" Target="../napari-cosmx-intro/index.qmd#sec-stitch-images" TargetMode="External" /><Relationship Type="http://schemas.openxmlformats.org/officeDocument/2006/relationships/hyperlink" Id="rId113" Target="https://github.com/Yillumination" TargetMode="External" /><Relationship Type="http://schemas.openxmlformats.org/officeDocument/2006/relationships/hyperlink" Id="rId109" Target="https://github.com/crwilliams11" TargetMode="External" /><Relationship Type="http://schemas.openxmlformats.org/officeDocument/2006/relationships/hyperlink" Id="rId111" Target="https://github.com/dan11mcguire" TargetMode="External" /><Relationship Type="http://schemas.openxmlformats.org/officeDocument/2006/relationships/hyperlink" Id="rId108" Target="https://github.com/eveilyeverafter" TargetMode="External" /><Relationship Type="http://schemas.openxmlformats.org/officeDocument/2006/relationships/hyperlink" Id="rId114" Target="https://github.com/fnew" TargetMode="External" /><Relationship Type="http://schemas.openxmlformats.org/officeDocument/2006/relationships/hyperlink" Id="rId107" Target="https://github.com/lidanwu" TargetMode="External" /><Relationship Type="http://schemas.openxmlformats.org/officeDocument/2006/relationships/hyperlink" Id="rId112" Target="https://github.com/mgrout81" TargetMode="External" /><Relationship Type="http://schemas.openxmlformats.org/officeDocument/2006/relationships/hyperlink" Id="rId110" Target="https://github.com/mrvikramkohli" TargetMode="External" /><Relationship Type="http://schemas.openxmlformats.org/officeDocument/2006/relationships/hyperlink" Id="rId106" Target="https://github.com/patrickjdanaher" TargetMode="External" /><Relationship Type="http://schemas.openxmlformats.org/officeDocument/2006/relationships/hyperlink" Id="rId115" Target="https://github.com/skorukonda" TargetMode="External" /><Relationship Type="http://schemas.openxmlformats.org/officeDocument/2006/relationships/hyperlink" Id="rId29" Target="https://nanostring.com/products/cosmx-spatial-molecular-imager/ffpe-dataset/cosmx-smi-mouse-brain-ffpe-dataset/" TargetMode="External" /><Relationship Type="http://schemas.openxmlformats.org/officeDocument/2006/relationships/hyperlink" Id="rId37" Target="https://napari.org/stable/tutorials/fundamentals/viewer.html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napari-cosmx essentials</dc:title>
  <dc:creator>Evelyn Metzger</dc:creator>
  <dc:description>In this post, I walk through some of the basic ways I use napari-cosmx to view and analyze SMI data. I will make use of this GUI/scripting duality and share a combination of GUI and programmatic tips and tricks.</dc:description>
  <cp:keywords/>
  <dcterms:created xsi:type="dcterms:W3CDTF">2026-02-09T19:21:30Z</dcterms:created>
  <dcterms:modified xsi:type="dcterms:W3CDTF">2026-02-09T19:21:30Z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ffiliations">
    <vt:lpwstr/>
  </property>
  <property fmtid="{D5CDD505-2E9C-101B-9397-08002B2CF9AE}" pid="3" name="authors">
    <vt:lpwstr/>
  </property>
  <property fmtid="{D5CDD505-2E9C-101B-9397-08002B2CF9AE}" pid="4" name="biblio-config">
    <vt:lpwstr>True</vt:lpwstr>
  </property>
  <property fmtid="{D5CDD505-2E9C-101B-9397-08002B2CF9AE}" pid="5" name="bibliography">
    <vt:lpwstr/>
  </property>
  <property fmtid="{D5CDD505-2E9C-101B-9397-08002B2CF9AE}" pid="6" name="by-affiliation">
    <vt:lpwstr/>
  </property>
  <property fmtid="{D5CDD505-2E9C-101B-9397-08002B2CF9AE}" pid="7" name="by-author">
    <vt:lpwstr/>
  </property>
  <property fmtid="{D5CDD505-2E9C-101B-9397-08002B2CF9AE}" pid="8" name="categories">
    <vt:lpwstr/>
  </property>
  <property fmtid="{D5CDD505-2E9C-101B-9397-08002B2CF9AE}" pid="9" name="date">
    <vt:lpwstr>2024-06-17</vt:lpwstr>
  </property>
  <property fmtid="{D5CDD505-2E9C-101B-9397-08002B2CF9AE}" pid="10" name="draft">
    <vt:lpwstr>False</vt:lpwstr>
  </property>
  <property fmtid="{D5CDD505-2E9C-101B-9397-08002B2CF9AE}" pid="11" name="google-scholar">
    <vt:lpwstr>True</vt:lpwstr>
  </property>
  <property fmtid="{D5CDD505-2E9C-101B-9397-08002B2CF9AE}" pid="12" name="header-includes">
    <vt:lpwstr/>
  </property>
  <property fmtid="{D5CDD505-2E9C-101B-9397-08002B2CF9AE}" pid="13" name="image">
    <vt:lpwstr>figures/fig-duality.png</vt:lpwstr>
  </property>
  <property fmtid="{D5CDD505-2E9C-101B-9397-08002B2CF9AE}" pid="14" name="include-after">
    <vt:lpwstr/>
  </property>
  <property fmtid="{D5CDD505-2E9C-101B-9397-08002B2CF9AE}" pid="15" name="include-before">
    <vt:lpwstr/>
  </property>
  <property fmtid="{D5CDD505-2E9C-101B-9397-08002B2CF9AE}" pid="16" name="labels">
    <vt:lpwstr/>
  </property>
  <property fmtid="{D5CDD505-2E9C-101B-9397-08002B2CF9AE}" pid="17" name="number-depth">
    <vt:lpwstr>4</vt:lpwstr>
  </property>
  <property fmtid="{D5CDD505-2E9C-101B-9397-08002B2CF9AE}" pid="18" name="page-layout">
    <vt:lpwstr>full</vt:lpwstr>
  </property>
  <property fmtid="{D5CDD505-2E9C-101B-9397-08002B2CF9AE}" pid="19" name="title-block-banner">
    <vt:lpwstr>True</vt:lpwstr>
  </property>
  <property fmtid="{D5CDD505-2E9C-101B-9397-08002B2CF9AE}" pid="20" name="toc-expand">
    <vt:lpwstr>2</vt:lpwstr>
  </property>
  <property fmtid="{D5CDD505-2E9C-101B-9397-08002B2CF9AE}" pid="21" name="toc-location">
    <vt:lpwstr>left</vt:lpwstr>
  </property>
  <property fmtid="{D5CDD505-2E9C-101B-9397-08002B2CF9AE}" pid="22" name="toc-title">
    <vt:lpwstr>Contents</vt:lpwstr>
  </property>
</Properties>
</file>